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47F400BB"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146C65" w:rsidRPr="00146C65">
              <w:rPr>
                <w:rFonts w:ascii="Arial" w:eastAsia="SimHei" w:hAnsi="Arial" w:cs="Arial" w:hint="eastAsia"/>
                <w:sz w:val="36"/>
                <w:szCs w:val="36"/>
                <w:lang w:val="en-GB" w:eastAsia="zh-CN"/>
              </w:rPr>
              <w:t>新德里，</w:t>
            </w:r>
            <w:r w:rsidR="00146C65" w:rsidRPr="00146C65">
              <w:rPr>
                <w:rFonts w:ascii="Arial" w:eastAsia="SimHei" w:hAnsi="Arial" w:cs="Arial" w:hint="eastAsia"/>
                <w:sz w:val="36"/>
                <w:szCs w:val="36"/>
                <w:lang w:val="en-GB" w:eastAsia="zh-CN"/>
              </w:rPr>
              <w:t>2024</w:t>
            </w:r>
            <w:r w:rsidR="00146C65" w:rsidRPr="00146C65">
              <w:rPr>
                <w:rFonts w:ascii="Arial" w:eastAsia="SimHei" w:hAnsi="Arial" w:cs="Arial" w:hint="eastAsia"/>
                <w:sz w:val="36"/>
                <w:szCs w:val="36"/>
                <w:lang w:val="en-GB" w:eastAsia="zh-CN"/>
              </w:rPr>
              <w:t>年</w:t>
            </w:r>
            <w:r w:rsidR="00146C65" w:rsidRPr="00146C65">
              <w:rPr>
                <w:rFonts w:ascii="Arial" w:eastAsia="SimHei" w:hAnsi="Arial" w:cs="Arial" w:hint="eastAsia"/>
                <w:sz w:val="36"/>
                <w:szCs w:val="36"/>
                <w:lang w:val="en-GB" w:eastAsia="zh-CN"/>
              </w:rPr>
              <w:t>10</w:t>
            </w:r>
            <w:r w:rsidR="00146C65" w:rsidRPr="00146C65">
              <w:rPr>
                <w:rFonts w:ascii="Arial" w:eastAsia="SimHei" w:hAnsi="Arial" w:cs="Arial" w:hint="eastAsia"/>
                <w:sz w:val="36"/>
                <w:szCs w:val="36"/>
                <w:lang w:val="en-GB" w:eastAsia="zh-CN"/>
              </w:rPr>
              <w:t>月</w:t>
            </w:r>
            <w:r w:rsidR="00146C65" w:rsidRPr="00146C65">
              <w:rPr>
                <w:rFonts w:ascii="Arial" w:eastAsia="SimHei" w:hAnsi="Arial" w:cs="Arial" w:hint="eastAsia"/>
                <w:sz w:val="36"/>
                <w:szCs w:val="36"/>
                <w:lang w:val="en-GB" w:eastAsia="zh-CN"/>
              </w:rPr>
              <w:t>15-24</w:t>
            </w:r>
            <w:r w:rsidR="00146C65" w:rsidRPr="00146C65">
              <w:rPr>
                <w:rFonts w:ascii="Arial" w:eastAsia="SimHei" w:hAnsi="Arial" w:cs="Arial" w:hint="eastAsia"/>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5CC4CCEA" w:rsidR="00EA2A26" w:rsidRPr="002825B1" w:rsidRDefault="00AB2633" w:rsidP="001D0C8D">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772CEB">
              <w:rPr>
                <w:rFonts w:eastAsia="SimHei" w:hint="eastAsia"/>
                <w:spacing w:val="-6"/>
                <w:sz w:val="44"/>
                <w:szCs w:val="44"/>
                <w:lang w:val="en-GB" w:eastAsia="zh-CN"/>
              </w:rPr>
              <w:t>18</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146C65" w:rsidRPr="00146C65">
              <w:rPr>
                <w:rFonts w:eastAsia="SimHei" w:hint="eastAsia"/>
                <w:spacing w:val="-6"/>
                <w:sz w:val="44"/>
                <w:szCs w:val="44"/>
                <w:lang w:val="en-GB" w:eastAsia="zh-CN"/>
              </w:rPr>
              <w:t>加强国际电联三个部门在共同</w:t>
            </w:r>
            <w:r w:rsidR="001D0C8D">
              <w:rPr>
                <w:rFonts w:eastAsia="SimHei"/>
                <w:spacing w:val="-6"/>
                <w:sz w:val="44"/>
                <w:szCs w:val="44"/>
                <w:lang w:val="en-GB" w:eastAsia="zh-CN"/>
              </w:rPr>
              <w:br/>
            </w:r>
            <w:r w:rsidR="00146C65" w:rsidRPr="00146C65">
              <w:rPr>
                <w:rFonts w:eastAsia="SimHei" w:hint="eastAsia"/>
                <w:spacing w:val="-6"/>
                <w:sz w:val="44"/>
                <w:szCs w:val="44"/>
                <w:lang w:val="en-GB" w:eastAsia="zh-CN"/>
              </w:rPr>
              <w:t>关心的问题上的协调和合作</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Default="000E4393" w:rsidP="000E4393">
      <w:pPr>
        <w:spacing w:line="240" w:lineRule="exact"/>
        <w:jc w:val="center"/>
        <w:rPr>
          <w:sz w:val="20"/>
          <w:lang w:val="en-GB" w:eastAsia="zh-CN"/>
        </w:rPr>
      </w:pPr>
    </w:p>
    <w:p w14:paraId="658962E5" w14:textId="77777777" w:rsidR="00146C65" w:rsidRPr="00F81B8E" w:rsidRDefault="00146C65"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7BBC5AF0" w14:textId="2604FD41" w:rsidR="006F01CD" w:rsidRPr="00772CEB" w:rsidRDefault="00EA2A26" w:rsidP="00EA2A26">
      <w:pPr>
        <w:spacing w:before="120" w:line="240" w:lineRule="auto"/>
        <w:jc w:val="center"/>
        <w:rPr>
          <w:szCs w:val="22"/>
          <w:lang w:val="en-GB" w:eastAsia="zh-CN"/>
        </w:rPr>
      </w:pPr>
      <w:r w:rsidRPr="00772CEB">
        <w:rPr>
          <w:szCs w:val="22"/>
          <w:lang w:val="en-GB"/>
        </w:rPr>
        <w:sym w:font="Symbol" w:char="F0E3"/>
      </w:r>
      <w:r w:rsidRPr="00772CEB">
        <w:rPr>
          <w:szCs w:val="22"/>
          <w:lang w:val="en-GB" w:eastAsia="zh-CN"/>
        </w:rPr>
        <w:t> </w:t>
      </w:r>
      <w:r w:rsidR="00953471" w:rsidRPr="00772CEB">
        <w:rPr>
          <w:rFonts w:hint="eastAsia"/>
          <w:szCs w:val="22"/>
          <w:lang w:val="en-GB" w:eastAsia="zh-CN"/>
        </w:rPr>
        <w:t>国际电联</w:t>
      </w:r>
      <w:r w:rsidR="00953471" w:rsidRPr="00772CEB">
        <w:rPr>
          <w:rFonts w:hint="eastAsia"/>
          <w:szCs w:val="22"/>
          <w:lang w:val="en-GB" w:eastAsia="zh-CN"/>
        </w:rPr>
        <w:t xml:space="preserve"> </w:t>
      </w:r>
      <w:r w:rsidRPr="00772CEB">
        <w:rPr>
          <w:szCs w:val="22"/>
          <w:lang w:val="en-GB" w:eastAsia="zh-CN"/>
        </w:rPr>
        <w:t>20</w:t>
      </w:r>
      <w:r w:rsidR="00772CEB" w:rsidRPr="00772CEB">
        <w:rPr>
          <w:rFonts w:hint="eastAsia"/>
          <w:szCs w:val="22"/>
          <w:lang w:val="en-GB" w:eastAsia="zh-CN"/>
        </w:rPr>
        <w:t>2</w:t>
      </w:r>
      <w:r w:rsidR="00146C65">
        <w:rPr>
          <w:rFonts w:hint="eastAsia"/>
          <w:szCs w:val="22"/>
          <w:lang w:val="en-GB" w:eastAsia="zh-CN"/>
        </w:rPr>
        <w:t>4</w:t>
      </w:r>
    </w:p>
    <w:p w14:paraId="44AA25C4" w14:textId="77777777" w:rsidR="00B73379" w:rsidRDefault="00FC6CA4" w:rsidP="00953471">
      <w:pPr>
        <w:ind w:firstLineChars="200" w:firstLine="480"/>
        <w:rPr>
          <w:sz w:val="20"/>
          <w:lang w:val="en-GB" w:eastAsia="zh-CN"/>
        </w:rPr>
      </w:pPr>
      <w:r w:rsidRPr="00772CEB">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0080D769" w14:textId="77777777" w:rsidR="00146C65" w:rsidRPr="002B04C3" w:rsidRDefault="00146C65" w:rsidP="001D0C8D">
      <w:pPr>
        <w:pStyle w:val="ResNo"/>
        <w:outlineLvl w:val="0"/>
        <w:rPr>
          <w:lang w:eastAsia="zh-CN"/>
        </w:rPr>
      </w:pPr>
      <w:r w:rsidRPr="00146C65">
        <w:rPr>
          <w:rFonts w:hint="eastAsia"/>
          <w:lang w:val="en-GB" w:eastAsia="zh-CN"/>
        </w:rPr>
        <w:lastRenderedPageBreak/>
        <w:t>第</w:t>
      </w:r>
      <w:r w:rsidRPr="002B04C3">
        <w:rPr>
          <w:rStyle w:val="href"/>
          <w:lang w:eastAsia="zh-CN"/>
        </w:rPr>
        <w:t>18</w:t>
      </w:r>
      <w:r w:rsidRPr="00146C65">
        <w:rPr>
          <w:rFonts w:hint="eastAsia"/>
          <w:lang w:val="en-GB" w:eastAsia="zh-CN"/>
        </w:rPr>
        <w:t>号决议</w:t>
      </w:r>
      <w:r w:rsidRPr="002B04C3">
        <w:rPr>
          <w:rFonts w:ascii="SimSun" w:hAnsi="SimSun" w:cs="SimSun" w:hint="eastAsia"/>
          <w:lang w:eastAsia="zh-CN"/>
        </w:rPr>
        <w:t>（</w:t>
      </w:r>
      <w:r>
        <w:rPr>
          <w:rFonts w:hint="eastAsia"/>
          <w:lang w:eastAsia="zh-CN"/>
        </w:rPr>
        <w:t>2024</w:t>
      </w:r>
      <w:r>
        <w:rPr>
          <w:rFonts w:hint="eastAsia"/>
          <w:lang w:eastAsia="zh-CN"/>
        </w:rPr>
        <w:t>年，新德里</w:t>
      </w:r>
      <w:r w:rsidRPr="002B04C3">
        <w:rPr>
          <w:rFonts w:hint="eastAsia"/>
          <w:lang w:eastAsia="zh-CN"/>
        </w:rPr>
        <w:t>，修订版）</w:t>
      </w:r>
      <w:r>
        <w:rPr>
          <w:rStyle w:val="FootnoteReference"/>
          <w:lang w:eastAsia="zh-CN"/>
        </w:rPr>
        <w:footnoteReference w:customMarkFollows="1" w:id="1"/>
        <w:t>1</w:t>
      </w:r>
    </w:p>
    <w:p w14:paraId="69D49063" w14:textId="77777777" w:rsidR="00146C65" w:rsidRPr="002B04C3" w:rsidRDefault="00146C65" w:rsidP="001D0C8D">
      <w:pPr>
        <w:pStyle w:val="Restitle"/>
        <w:outlineLvl w:val="0"/>
        <w:rPr>
          <w:lang w:eastAsia="zh-CN"/>
        </w:rPr>
      </w:pPr>
      <w:bookmarkStart w:id="2" w:name="_Toc114651295"/>
      <w:r>
        <w:rPr>
          <w:rFonts w:hint="eastAsia"/>
          <w:lang w:eastAsia="zh-CN"/>
        </w:rPr>
        <w:t>加强</w:t>
      </w:r>
      <w:r w:rsidRPr="002B04C3">
        <w:rPr>
          <w:rFonts w:hint="eastAsia"/>
          <w:lang w:eastAsia="zh-CN"/>
        </w:rPr>
        <w:t>国际电联</w:t>
      </w:r>
      <w:r>
        <w:rPr>
          <w:rFonts w:hint="eastAsia"/>
          <w:lang w:eastAsia="zh-CN"/>
        </w:rPr>
        <w:t>三个</w:t>
      </w:r>
      <w:r w:rsidRPr="002B04C3">
        <w:rPr>
          <w:rFonts w:hint="eastAsia"/>
          <w:lang w:eastAsia="zh-CN"/>
        </w:rPr>
        <w:t>部门</w:t>
      </w:r>
      <w:r>
        <w:rPr>
          <w:rFonts w:hint="eastAsia"/>
          <w:lang w:eastAsia="zh-CN"/>
        </w:rPr>
        <w:t>在共同关心的问题上的</w:t>
      </w:r>
      <w:r w:rsidRPr="002B04C3">
        <w:rPr>
          <w:rFonts w:hint="eastAsia"/>
          <w:lang w:eastAsia="zh-CN"/>
        </w:rPr>
        <w:t>协调</w:t>
      </w:r>
      <w:r>
        <w:rPr>
          <w:rFonts w:hint="eastAsia"/>
          <w:lang w:eastAsia="zh-CN"/>
        </w:rPr>
        <w:t>和</w:t>
      </w:r>
      <w:r w:rsidRPr="002B04C3">
        <w:rPr>
          <w:lang w:eastAsia="zh-CN"/>
        </w:rPr>
        <w:t>合作</w:t>
      </w:r>
      <w:bookmarkEnd w:id="2"/>
    </w:p>
    <w:p w14:paraId="1AB41D7B" w14:textId="1EA7461F" w:rsidR="00146C65" w:rsidRPr="00C03558" w:rsidRDefault="00146C65" w:rsidP="00146C65">
      <w:pPr>
        <w:pStyle w:val="Resref"/>
        <w:rPr>
          <w:i/>
          <w:lang w:eastAsia="zh-CN"/>
        </w:rPr>
      </w:pPr>
      <w:r w:rsidRPr="00C03558">
        <w:rPr>
          <w:rFonts w:hint="eastAsia"/>
          <w:lang w:eastAsia="zh-CN"/>
        </w:rPr>
        <w:t>（</w:t>
      </w:r>
      <w:r w:rsidRPr="00EA2345">
        <w:rPr>
          <w:lang w:eastAsia="zh-CN"/>
        </w:rPr>
        <w:t>1993</w:t>
      </w:r>
      <w:r w:rsidRPr="00EA2345">
        <w:rPr>
          <w:lang w:eastAsia="zh-CN"/>
        </w:rPr>
        <w:t>年，赫尔辛基；</w:t>
      </w:r>
      <w:r w:rsidRPr="00EA2345">
        <w:rPr>
          <w:lang w:eastAsia="zh-CN"/>
        </w:rPr>
        <w:t>1996</w:t>
      </w:r>
      <w:r w:rsidRPr="00EA2345">
        <w:rPr>
          <w:lang w:eastAsia="zh-CN"/>
        </w:rPr>
        <w:t>年，日内瓦；</w:t>
      </w:r>
      <w:r w:rsidRPr="00EA2345">
        <w:rPr>
          <w:lang w:eastAsia="zh-CN"/>
        </w:rPr>
        <w:t>2000</w:t>
      </w:r>
      <w:r w:rsidRPr="00EA2345">
        <w:rPr>
          <w:lang w:eastAsia="zh-CN"/>
        </w:rPr>
        <w:t>年，蒙特利尔；</w:t>
      </w:r>
      <w:r w:rsidRPr="00EA2345">
        <w:rPr>
          <w:lang w:eastAsia="zh-CN"/>
        </w:rPr>
        <w:t>2004</w:t>
      </w:r>
      <w:r w:rsidRPr="00EA2345">
        <w:rPr>
          <w:lang w:eastAsia="zh-CN"/>
        </w:rPr>
        <w:t>年，弗洛里亚诺波利斯；</w:t>
      </w:r>
      <w:r>
        <w:rPr>
          <w:lang w:eastAsia="zh-CN"/>
        </w:rPr>
        <w:br/>
      </w:r>
      <w:r w:rsidRPr="00EA2345">
        <w:rPr>
          <w:lang w:eastAsia="zh-CN"/>
        </w:rPr>
        <w:t>2008</w:t>
      </w:r>
      <w:r w:rsidRPr="00EA2345">
        <w:rPr>
          <w:lang w:eastAsia="zh-CN"/>
        </w:rPr>
        <w:t>年，约翰内斯堡；</w:t>
      </w:r>
      <w:r w:rsidRPr="00EA2345">
        <w:rPr>
          <w:lang w:eastAsia="zh-CN"/>
        </w:rPr>
        <w:t>2012</w:t>
      </w:r>
      <w:r w:rsidRPr="00EA2345">
        <w:rPr>
          <w:lang w:eastAsia="zh-CN"/>
        </w:rPr>
        <w:t>年，迪拜；</w:t>
      </w:r>
      <w:r w:rsidRPr="00EA2345">
        <w:rPr>
          <w:lang w:eastAsia="zh-CN"/>
        </w:rPr>
        <w:t>2016</w:t>
      </w:r>
      <w:r w:rsidRPr="00EA2345">
        <w:rPr>
          <w:lang w:eastAsia="zh-CN"/>
        </w:rPr>
        <w:t>年，哈马马特；</w:t>
      </w:r>
      <w:r>
        <w:rPr>
          <w:lang w:eastAsia="zh-CN"/>
        </w:rPr>
        <w:br/>
      </w:r>
      <w:r w:rsidRPr="00EA2345">
        <w:rPr>
          <w:lang w:eastAsia="zh-CN"/>
        </w:rPr>
        <w:t>2022</w:t>
      </w:r>
      <w:r w:rsidRPr="00EA2345">
        <w:rPr>
          <w:lang w:eastAsia="zh-CN"/>
        </w:rPr>
        <w:t>年，日内瓦；</w:t>
      </w:r>
      <w:r w:rsidRPr="00EA2345">
        <w:rPr>
          <w:rFonts w:hint="eastAsia"/>
          <w:lang w:eastAsia="zh-CN"/>
        </w:rPr>
        <w:t>2024</w:t>
      </w:r>
      <w:r w:rsidRPr="00EA2345">
        <w:rPr>
          <w:rFonts w:hint="eastAsia"/>
          <w:lang w:eastAsia="zh-CN"/>
        </w:rPr>
        <w:t>年，新德里</w:t>
      </w:r>
      <w:r w:rsidRPr="00C03558">
        <w:rPr>
          <w:rFonts w:hint="eastAsia"/>
          <w:lang w:eastAsia="zh-CN"/>
        </w:rPr>
        <w:t>）</w:t>
      </w:r>
    </w:p>
    <w:p w14:paraId="0ADBABC3" w14:textId="77777777" w:rsidR="00146C65" w:rsidRPr="002B04C3" w:rsidRDefault="00146C65" w:rsidP="00146C65">
      <w:pPr>
        <w:pStyle w:val="Normalaftertitle0"/>
        <w:rPr>
          <w:lang w:eastAsia="zh-CN"/>
        </w:rPr>
      </w:pPr>
      <w:r w:rsidRPr="002B04C3">
        <w:rPr>
          <w:rFonts w:hint="eastAsia"/>
          <w:lang w:eastAsia="zh-CN"/>
        </w:rPr>
        <w:t>世界电信标准化全会（</w:t>
      </w:r>
      <w:r w:rsidRPr="00EA2345">
        <w:rPr>
          <w:rFonts w:hint="eastAsia"/>
          <w:lang w:eastAsia="zh-CN"/>
        </w:rPr>
        <w:t>2024</w:t>
      </w:r>
      <w:r w:rsidRPr="00EA2345">
        <w:rPr>
          <w:rFonts w:hint="eastAsia"/>
          <w:lang w:eastAsia="zh-CN"/>
        </w:rPr>
        <w:t>年，新德里</w:t>
      </w:r>
      <w:r w:rsidRPr="002B04C3">
        <w:rPr>
          <w:rFonts w:hint="eastAsia"/>
          <w:lang w:eastAsia="zh-CN"/>
        </w:rPr>
        <w:t>），</w:t>
      </w:r>
    </w:p>
    <w:p w14:paraId="28591489" w14:textId="77777777" w:rsidR="00146C65" w:rsidRPr="002B04C3" w:rsidRDefault="00146C65" w:rsidP="00146C65">
      <w:pPr>
        <w:pStyle w:val="Call"/>
        <w:rPr>
          <w:lang w:eastAsia="zh-CN"/>
        </w:rPr>
      </w:pPr>
      <w:r w:rsidRPr="002B04C3">
        <w:rPr>
          <w:rFonts w:hint="eastAsia"/>
          <w:lang w:eastAsia="zh-CN"/>
        </w:rPr>
        <w:t>忆及</w:t>
      </w:r>
    </w:p>
    <w:p w14:paraId="7C758430" w14:textId="77777777" w:rsidR="00146C65" w:rsidRPr="002B04C3" w:rsidRDefault="00146C65" w:rsidP="00146C65">
      <w:pPr>
        <w:pStyle w:val="Normalnoindent"/>
        <w:rPr>
          <w:i/>
          <w:iCs/>
          <w:lang w:eastAsia="zh-CN"/>
        </w:rPr>
      </w:pPr>
      <w:r w:rsidRPr="002B04C3">
        <w:rPr>
          <w:i/>
          <w:iCs/>
          <w:lang w:eastAsia="zh-CN"/>
        </w:rPr>
        <w:t>a)</w:t>
      </w:r>
      <w:r w:rsidRPr="002B04C3">
        <w:rPr>
          <w:i/>
          <w:iCs/>
          <w:lang w:eastAsia="zh-CN"/>
        </w:rPr>
        <w:tab/>
      </w:r>
      <w:r w:rsidRPr="002B04C3">
        <w:rPr>
          <w:rFonts w:eastAsiaTheme="minorEastAsia"/>
          <w:lang w:eastAsia="zh-CN"/>
        </w:rPr>
        <w:t>国际电联《</w:t>
      </w:r>
      <w:r w:rsidRPr="002B04C3">
        <w:rPr>
          <w:rFonts w:eastAsiaTheme="minorEastAsia" w:hint="eastAsia"/>
          <w:lang w:eastAsia="zh-CN"/>
        </w:rPr>
        <w:t>组织法</w:t>
      </w:r>
      <w:r w:rsidRPr="002B04C3">
        <w:rPr>
          <w:rFonts w:eastAsiaTheme="minorEastAsia"/>
          <w:lang w:eastAsia="zh-CN"/>
        </w:rPr>
        <w:t>》和《公约》</w:t>
      </w:r>
      <w:r w:rsidRPr="002B04C3">
        <w:rPr>
          <w:rFonts w:eastAsiaTheme="minorEastAsia" w:hint="eastAsia"/>
          <w:lang w:eastAsia="zh-CN"/>
        </w:rPr>
        <w:t>中列明了国际电联无线电通信部门（</w:t>
      </w:r>
      <w:r w:rsidRPr="002B04C3">
        <w:rPr>
          <w:rFonts w:eastAsiaTheme="minorEastAsia"/>
          <w:lang w:eastAsia="zh-CN"/>
        </w:rPr>
        <w:t>ITU-R</w:t>
      </w:r>
      <w:r w:rsidRPr="002B04C3">
        <w:rPr>
          <w:rFonts w:eastAsiaTheme="minorEastAsia" w:hint="eastAsia"/>
          <w:lang w:eastAsia="zh-CN"/>
        </w:rPr>
        <w:t>）</w:t>
      </w:r>
      <w:r w:rsidRPr="002B04C3">
        <w:rPr>
          <w:rFonts w:eastAsiaTheme="minorEastAsia"/>
          <w:lang w:eastAsia="zh-CN"/>
        </w:rPr>
        <w:t>、</w:t>
      </w:r>
      <w:r w:rsidRPr="002B04C3">
        <w:rPr>
          <w:rFonts w:eastAsiaTheme="minorEastAsia" w:hint="eastAsia"/>
          <w:lang w:eastAsia="zh-CN"/>
        </w:rPr>
        <w:t>国际电联电信标准化部门（</w:t>
      </w:r>
      <w:r w:rsidRPr="002B04C3">
        <w:rPr>
          <w:rFonts w:eastAsiaTheme="minorEastAsia"/>
          <w:lang w:eastAsia="zh-CN"/>
        </w:rPr>
        <w:t>ITU-T</w:t>
      </w:r>
      <w:r w:rsidRPr="002B04C3">
        <w:rPr>
          <w:rFonts w:eastAsiaTheme="minorEastAsia" w:hint="eastAsia"/>
          <w:lang w:eastAsia="zh-CN"/>
        </w:rPr>
        <w:t>）</w:t>
      </w:r>
      <w:r w:rsidRPr="002B04C3">
        <w:rPr>
          <w:rFonts w:eastAsiaTheme="minorEastAsia"/>
          <w:lang w:eastAsia="zh-CN"/>
        </w:rPr>
        <w:t>和</w:t>
      </w:r>
      <w:r w:rsidRPr="002B04C3">
        <w:rPr>
          <w:rFonts w:eastAsiaTheme="minorEastAsia" w:hint="eastAsia"/>
          <w:lang w:eastAsia="zh-CN"/>
        </w:rPr>
        <w:t>国际电联电信发展部门（</w:t>
      </w:r>
      <w:r w:rsidRPr="002B04C3">
        <w:rPr>
          <w:rFonts w:eastAsiaTheme="minorEastAsia"/>
          <w:lang w:eastAsia="zh-CN"/>
        </w:rPr>
        <w:t>ITU-D</w:t>
      </w:r>
      <w:r w:rsidRPr="002B04C3">
        <w:rPr>
          <w:rFonts w:eastAsiaTheme="minorEastAsia" w:hint="eastAsia"/>
          <w:lang w:eastAsia="zh-CN"/>
        </w:rPr>
        <w:t>）</w:t>
      </w:r>
      <w:r w:rsidRPr="002B04C3">
        <w:rPr>
          <w:rFonts w:eastAsiaTheme="minorEastAsia"/>
          <w:lang w:eastAsia="zh-CN"/>
        </w:rPr>
        <w:t>的</w:t>
      </w:r>
      <w:r w:rsidRPr="002B04C3">
        <w:rPr>
          <w:rFonts w:eastAsiaTheme="minorEastAsia" w:hint="eastAsia"/>
          <w:lang w:eastAsia="zh-CN"/>
        </w:rPr>
        <w:t>职责，</w:t>
      </w:r>
      <w:r w:rsidRPr="002B04C3">
        <w:rPr>
          <w:rFonts w:eastAsiaTheme="minorEastAsia"/>
          <w:lang w:eastAsia="zh-CN"/>
        </w:rPr>
        <w:t>特别是《</w:t>
      </w:r>
      <w:r w:rsidRPr="002B04C3">
        <w:rPr>
          <w:rFonts w:eastAsiaTheme="minorEastAsia" w:hint="eastAsia"/>
          <w:lang w:eastAsia="zh-CN"/>
        </w:rPr>
        <w:t>组织法</w:t>
      </w:r>
      <w:r w:rsidRPr="002B04C3">
        <w:rPr>
          <w:rFonts w:eastAsiaTheme="minorEastAsia"/>
          <w:lang w:eastAsia="zh-CN"/>
        </w:rPr>
        <w:t>》第</w:t>
      </w:r>
      <w:r w:rsidRPr="002B04C3">
        <w:rPr>
          <w:rFonts w:eastAsiaTheme="minorEastAsia"/>
          <w:lang w:eastAsia="zh-CN"/>
        </w:rPr>
        <w:t>119</w:t>
      </w:r>
      <w:r w:rsidRPr="002B04C3">
        <w:rPr>
          <w:rFonts w:eastAsiaTheme="minorEastAsia" w:hint="eastAsia"/>
          <w:lang w:eastAsia="zh-CN"/>
        </w:rPr>
        <w:t>款和</w:t>
      </w:r>
      <w:r w:rsidRPr="002B04C3">
        <w:rPr>
          <w:rFonts w:eastAsiaTheme="minorEastAsia"/>
          <w:lang w:eastAsia="zh-CN"/>
        </w:rPr>
        <w:t>第</w:t>
      </w:r>
      <w:r w:rsidRPr="002B04C3">
        <w:rPr>
          <w:rFonts w:eastAsiaTheme="minorEastAsia"/>
          <w:lang w:eastAsia="zh-CN"/>
        </w:rPr>
        <w:t>151</w:t>
      </w:r>
      <w:r w:rsidRPr="002B04C3">
        <w:rPr>
          <w:rFonts w:eastAsiaTheme="minorEastAsia"/>
          <w:lang w:eastAsia="zh-CN"/>
        </w:rPr>
        <w:t>至</w:t>
      </w:r>
      <w:r w:rsidRPr="002B04C3">
        <w:rPr>
          <w:rFonts w:eastAsiaTheme="minorEastAsia"/>
          <w:lang w:eastAsia="zh-CN"/>
        </w:rPr>
        <w:t>154</w:t>
      </w:r>
      <w:r w:rsidRPr="002B04C3">
        <w:rPr>
          <w:rFonts w:eastAsiaTheme="minorEastAsia" w:hint="eastAsia"/>
          <w:lang w:eastAsia="zh-CN"/>
        </w:rPr>
        <w:t>款（涉及</w:t>
      </w:r>
      <w:r w:rsidRPr="002B04C3">
        <w:rPr>
          <w:rFonts w:eastAsiaTheme="minorEastAsia"/>
          <w:lang w:eastAsia="zh-CN"/>
        </w:rPr>
        <w:t>ITU-R</w:t>
      </w:r>
      <w:r w:rsidRPr="002B04C3">
        <w:rPr>
          <w:rFonts w:eastAsiaTheme="minorEastAsia" w:hint="eastAsia"/>
          <w:lang w:eastAsia="zh-CN"/>
        </w:rPr>
        <w:t>）</w:t>
      </w:r>
      <w:r w:rsidRPr="002B04C3">
        <w:rPr>
          <w:rFonts w:eastAsiaTheme="minorEastAsia"/>
          <w:lang w:eastAsia="zh-CN"/>
        </w:rPr>
        <w:t>、第</w:t>
      </w:r>
      <w:r w:rsidRPr="002B04C3">
        <w:rPr>
          <w:rFonts w:eastAsiaTheme="minorEastAsia"/>
          <w:lang w:eastAsia="zh-CN"/>
        </w:rPr>
        <w:t>193</w:t>
      </w:r>
      <w:r w:rsidRPr="002B04C3">
        <w:rPr>
          <w:rFonts w:eastAsiaTheme="minorEastAsia" w:hint="eastAsia"/>
          <w:lang w:eastAsia="zh-CN"/>
        </w:rPr>
        <w:t>款（涉及</w:t>
      </w:r>
      <w:r w:rsidRPr="002B04C3">
        <w:rPr>
          <w:rFonts w:eastAsiaTheme="minorEastAsia"/>
          <w:lang w:eastAsia="zh-CN"/>
        </w:rPr>
        <w:t>ITU-T</w:t>
      </w:r>
      <w:r w:rsidRPr="002B04C3">
        <w:rPr>
          <w:rFonts w:eastAsiaTheme="minorEastAsia" w:hint="eastAsia"/>
          <w:lang w:eastAsia="zh-CN"/>
        </w:rPr>
        <w:t>）</w:t>
      </w:r>
      <w:r w:rsidRPr="002B04C3">
        <w:rPr>
          <w:rFonts w:eastAsiaTheme="minorEastAsia"/>
          <w:lang w:eastAsia="zh-CN"/>
        </w:rPr>
        <w:t>、第</w:t>
      </w:r>
      <w:r w:rsidRPr="002B04C3">
        <w:rPr>
          <w:rFonts w:eastAsiaTheme="minorEastAsia"/>
          <w:lang w:eastAsia="zh-CN"/>
        </w:rPr>
        <w:t>211</w:t>
      </w:r>
      <w:r w:rsidRPr="002B04C3">
        <w:rPr>
          <w:rFonts w:eastAsiaTheme="minorEastAsia"/>
          <w:lang w:eastAsia="zh-CN"/>
        </w:rPr>
        <w:t>和</w:t>
      </w:r>
      <w:r w:rsidRPr="002B04C3">
        <w:rPr>
          <w:rFonts w:eastAsiaTheme="minorEastAsia"/>
          <w:lang w:eastAsia="zh-CN"/>
        </w:rPr>
        <w:t>214</w:t>
      </w:r>
      <w:r w:rsidRPr="002B04C3">
        <w:rPr>
          <w:rFonts w:eastAsiaTheme="minorEastAsia" w:hint="eastAsia"/>
          <w:lang w:eastAsia="zh-CN"/>
        </w:rPr>
        <w:t>款（涉及</w:t>
      </w:r>
      <w:r w:rsidRPr="002B04C3">
        <w:rPr>
          <w:rFonts w:eastAsiaTheme="minorEastAsia"/>
          <w:lang w:eastAsia="zh-CN"/>
        </w:rPr>
        <w:t>ITU-D</w:t>
      </w:r>
      <w:r w:rsidRPr="002B04C3">
        <w:rPr>
          <w:rFonts w:eastAsiaTheme="minorEastAsia" w:hint="eastAsia"/>
          <w:lang w:eastAsia="zh-CN"/>
        </w:rPr>
        <w:t>）</w:t>
      </w:r>
      <w:r w:rsidRPr="002B04C3">
        <w:rPr>
          <w:rFonts w:eastAsiaTheme="minorEastAsia"/>
          <w:lang w:eastAsia="zh-CN"/>
        </w:rPr>
        <w:t>和《公约》</w:t>
      </w:r>
      <w:proofErr w:type="gramStart"/>
      <w:r w:rsidRPr="002B04C3">
        <w:rPr>
          <w:rFonts w:eastAsiaTheme="minorEastAsia"/>
          <w:lang w:eastAsia="zh-CN"/>
        </w:rPr>
        <w:t>第</w:t>
      </w:r>
      <w:r w:rsidRPr="002B04C3">
        <w:rPr>
          <w:rFonts w:eastAsiaTheme="minorEastAsia"/>
          <w:lang w:eastAsia="zh-CN"/>
        </w:rPr>
        <w:t>215</w:t>
      </w:r>
      <w:r w:rsidRPr="002B04C3">
        <w:rPr>
          <w:rFonts w:eastAsiaTheme="minorEastAsia" w:hint="eastAsia"/>
          <w:lang w:eastAsia="zh-CN"/>
        </w:rPr>
        <w:t>款；</w:t>
      </w:r>
      <w:proofErr w:type="gramEnd"/>
    </w:p>
    <w:p w14:paraId="435D1D06" w14:textId="77777777" w:rsidR="00146C65" w:rsidRPr="002B04C3" w:rsidRDefault="00146C65" w:rsidP="00146C65">
      <w:pPr>
        <w:pStyle w:val="Normalnoindent"/>
        <w:rPr>
          <w:lang w:eastAsia="zh-CN"/>
        </w:rPr>
      </w:pPr>
      <w:r w:rsidRPr="002B04C3">
        <w:rPr>
          <w:i/>
          <w:lang w:eastAsia="zh-CN"/>
        </w:rPr>
        <w:t>b)</w:t>
      </w:r>
      <w:r w:rsidRPr="002B04C3">
        <w:rPr>
          <w:lang w:eastAsia="zh-CN"/>
        </w:rPr>
        <w:tab/>
      </w:r>
      <w:r w:rsidRPr="002B04C3">
        <w:rPr>
          <w:rFonts w:hint="eastAsia"/>
          <w:lang w:val="fr-CH" w:eastAsia="zh-CN"/>
        </w:rPr>
        <w:t>全权代表大会</w:t>
      </w:r>
      <w:r>
        <w:rPr>
          <w:rFonts w:hint="eastAsia"/>
          <w:lang w:val="fr-CH" w:eastAsia="zh-CN"/>
        </w:rPr>
        <w:t>有关</w:t>
      </w:r>
      <w:r w:rsidRPr="002B04C3">
        <w:rPr>
          <w:rFonts w:hint="eastAsia"/>
          <w:lang w:eastAsia="zh-CN"/>
        </w:rPr>
        <w:t>协调国际电联三个部门工作的战略</w:t>
      </w:r>
      <w:r>
        <w:rPr>
          <w:rFonts w:hint="eastAsia"/>
          <w:lang w:eastAsia="zh-CN"/>
        </w:rPr>
        <w:t>的</w:t>
      </w:r>
      <w:r w:rsidRPr="002B04C3">
        <w:rPr>
          <w:rFonts w:hint="eastAsia"/>
          <w:lang w:val="fr-CH" w:eastAsia="zh-CN"/>
        </w:rPr>
        <w:t>第</w:t>
      </w:r>
      <w:r w:rsidRPr="002B04C3">
        <w:rPr>
          <w:rFonts w:hint="eastAsia"/>
          <w:lang w:eastAsia="zh-CN"/>
        </w:rPr>
        <w:t>191</w:t>
      </w:r>
      <w:r w:rsidRPr="002B04C3">
        <w:rPr>
          <w:rFonts w:hint="eastAsia"/>
          <w:lang w:val="fr-CH" w:eastAsia="zh-CN"/>
        </w:rPr>
        <w:t>号决议</w:t>
      </w:r>
      <w:r w:rsidRPr="002B04C3">
        <w:rPr>
          <w:rFonts w:hint="eastAsia"/>
          <w:lang w:eastAsia="zh-CN"/>
        </w:rPr>
        <w:t>（</w:t>
      </w:r>
      <w:r>
        <w:rPr>
          <w:rFonts w:hint="eastAsia"/>
          <w:lang w:val="fr-CH" w:eastAsia="zh-CN"/>
        </w:rPr>
        <w:t>2022</w:t>
      </w:r>
      <w:r>
        <w:rPr>
          <w:rFonts w:hint="eastAsia"/>
          <w:lang w:val="fr-CH" w:eastAsia="zh-CN"/>
        </w:rPr>
        <w:t>年，布加勒斯特</w:t>
      </w:r>
      <w:r w:rsidRPr="002B04C3">
        <w:rPr>
          <w:rFonts w:hint="eastAsia"/>
          <w:lang w:eastAsia="zh-CN"/>
        </w:rPr>
        <w:t>，</w:t>
      </w:r>
      <w:r w:rsidRPr="002B04C3">
        <w:rPr>
          <w:rFonts w:hint="eastAsia"/>
          <w:lang w:val="fr-CH" w:eastAsia="zh-CN"/>
        </w:rPr>
        <w:t>修订版</w:t>
      </w:r>
      <w:proofErr w:type="gramStart"/>
      <w:r w:rsidRPr="002B04C3">
        <w:rPr>
          <w:rFonts w:hint="eastAsia"/>
          <w:lang w:eastAsia="zh-CN"/>
        </w:rPr>
        <w:t>）；</w:t>
      </w:r>
      <w:proofErr w:type="gramEnd"/>
    </w:p>
    <w:p w14:paraId="662F451F" w14:textId="77777777" w:rsidR="00146C65" w:rsidRPr="002B04C3" w:rsidRDefault="00146C65" w:rsidP="00146C65">
      <w:pPr>
        <w:pStyle w:val="Normalnoindent"/>
        <w:rPr>
          <w:lang w:eastAsia="zh-CN"/>
        </w:rPr>
      </w:pPr>
      <w:r w:rsidRPr="002B04C3">
        <w:rPr>
          <w:i/>
          <w:iCs/>
          <w:lang w:eastAsia="zh-CN"/>
        </w:rPr>
        <w:t>c)</w:t>
      </w:r>
      <w:r w:rsidRPr="002B04C3">
        <w:rPr>
          <w:i/>
          <w:iCs/>
          <w:lang w:eastAsia="zh-CN"/>
        </w:rPr>
        <w:tab/>
      </w:r>
      <w:r w:rsidRPr="002B04C3">
        <w:rPr>
          <w:rFonts w:hint="eastAsia"/>
          <w:lang w:eastAsia="zh-CN"/>
        </w:rPr>
        <w:t>无线电</w:t>
      </w:r>
      <w:r w:rsidRPr="002B04C3">
        <w:rPr>
          <w:lang w:eastAsia="zh-CN"/>
        </w:rPr>
        <w:t>通信全会</w:t>
      </w:r>
      <w:r>
        <w:rPr>
          <w:rFonts w:hint="eastAsia"/>
          <w:lang w:eastAsia="zh-CN"/>
        </w:rPr>
        <w:t>有关加强国际电联三个</w:t>
      </w:r>
      <w:r w:rsidRPr="002B04C3">
        <w:rPr>
          <w:rFonts w:hint="eastAsia"/>
          <w:lang w:eastAsia="zh-CN"/>
        </w:rPr>
        <w:t>部门</w:t>
      </w:r>
      <w:r>
        <w:rPr>
          <w:rFonts w:hint="eastAsia"/>
          <w:lang w:eastAsia="zh-CN"/>
        </w:rPr>
        <w:t>在共同关心问题上的</w:t>
      </w:r>
      <w:r w:rsidRPr="002B04C3">
        <w:rPr>
          <w:rFonts w:hint="eastAsia"/>
          <w:lang w:eastAsia="zh-CN"/>
        </w:rPr>
        <w:t>协调</w:t>
      </w:r>
      <w:r>
        <w:rPr>
          <w:rFonts w:hint="eastAsia"/>
          <w:lang w:eastAsia="zh-CN"/>
        </w:rPr>
        <w:t>和</w:t>
      </w:r>
      <w:r w:rsidRPr="002B04C3">
        <w:rPr>
          <w:lang w:eastAsia="zh-CN"/>
        </w:rPr>
        <w:t>合作</w:t>
      </w:r>
      <w:r>
        <w:rPr>
          <w:rFonts w:hint="eastAsia"/>
          <w:lang w:eastAsia="zh-CN"/>
        </w:rPr>
        <w:t>的</w:t>
      </w:r>
      <w:r w:rsidRPr="002B04C3">
        <w:rPr>
          <w:lang w:eastAsia="zh-CN"/>
        </w:rPr>
        <w:t>ITU-R</w:t>
      </w:r>
      <w:r w:rsidRPr="002B04C3">
        <w:rPr>
          <w:rFonts w:hint="eastAsia"/>
          <w:lang w:eastAsia="zh-CN"/>
        </w:rPr>
        <w:t>第</w:t>
      </w:r>
      <w:r>
        <w:rPr>
          <w:rFonts w:hint="eastAsia"/>
          <w:lang w:eastAsia="zh-CN"/>
        </w:rPr>
        <w:t>75</w:t>
      </w:r>
      <w:r w:rsidRPr="002B04C3">
        <w:rPr>
          <w:rFonts w:hint="eastAsia"/>
          <w:lang w:eastAsia="zh-CN"/>
        </w:rPr>
        <w:t>号决议（</w:t>
      </w:r>
      <w:r>
        <w:rPr>
          <w:rFonts w:hint="eastAsia"/>
          <w:lang w:eastAsia="zh-CN"/>
        </w:rPr>
        <w:t>2023</w:t>
      </w:r>
      <w:r>
        <w:rPr>
          <w:rFonts w:hint="eastAsia"/>
          <w:lang w:eastAsia="zh-CN"/>
        </w:rPr>
        <w:t>年，迪拜</w:t>
      </w:r>
      <w:proofErr w:type="gramStart"/>
      <w:r w:rsidRPr="002B04C3">
        <w:rPr>
          <w:rFonts w:hint="eastAsia"/>
          <w:lang w:eastAsia="zh-CN"/>
        </w:rPr>
        <w:t>）；</w:t>
      </w:r>
      <w:proofErr w:type="gramEnd"/>
    </w:p>
    <w:p w14:paraId="3E7B9D37" w14:textId="77777777" w:rsidR="00146C65" w:rsidRPr="002B04C3" w:rsidRDefault="00146C65" w:rsidP="00146C65">
      <w:pPr>
        <w:pStyle w:val="Normalnoindent"/>
        <w:rPr>
          <w:lang w:eastAsia="zh-CN"/>
        </w:rPr>
      </w:pPr>
      <w:r w:rsidRPr="002B04C3">
        <w:rPr>
          <w:rFonts w:hint="eastAsia"/>
          <w:i/>
          <w:iCs/>
          <w:lang w:eastAsia="zh-CN"/>
        </w:rPr>
        <w:t>d</w:t>
      </w:r>
      <w:r w:rsidRPr="002B04C3">
        <w:rPr>
          <w:i/>
          <w:iCs/>
          <w:lang w:eastAsia="zh-CN"/>
        </w:rPr>
        <w:t>)</w:t>
      </w:r>
      <w:r w:rsidRPr="002B04C3">
        <w:rPr>
          <w:lang w:eastAsia="zh-CN"/>
        </w:rPr>
        <w:tab/>
      </w:r>
      <w:r w:rsidRPr="002B04C3">
        <w:rPr>
          <w:rFonts w:hint="eastAsia"/>
          <w:lang w:eastAsia="zh-CN"/>
        </w:rPr>
        <w:t>世界电信发展大会（</w:t>
      </w:r>
      <w:r w:rsidRPr="002B04C3">
        <w:rPr>
          <w:lang w:eastAsia="zh-CN"/>
        </w:rPr>
        <w:t>WTDC</w:t>
      </w:r>
      <w:r w:rsidRPr="002B04C3">
        <w:rPr>
          <w:rFonts w:hint="eastAsia"/>
          <w:lang w:eastAsia="zh-CN"/>
        </w:rPr>
        <w:t>）关于加强国际电联三个部门之间在共同关心问题上的协调与合作的第</w:t>
      </w:r>
      <w:r w:rsidRPr="002B04C3">
        <w:rPr>
          <w:lang w:eastAsia="zh-CN"/>
        </w:rPr>
        <w:t>59</w:t>
      </w:r>
      <w:r w:rsidRPr="002B04C3">
        <w:rPr>
          <w:rFonts w:hint="eastAsia"/>
          <w:lang w:eastAsia="zh-CN"/>
        </w:rPr>
        <w:t>号决议（</w:t>
      </w:r>
      <w:r>
        <w:rPr>
          <w:rFonts w:hint="eastAsia"/>
          <w:lang w:eastAsia="zh-CN"/>
        </w:rPr>
        <w:t>2022</w:t>
      </w:r>
      <w:r>
        <w:rPr>
          <w:rFonts w:hint="eastAsia"/>
          <w:lang w:eastAsia="zh-CN"/>
        </w:rPr>
        <w:t>年，基加利</w:t>
      </w:r>
      <w:r w:rsidRPr="002B04C3">
        <w:rPr>
          <w:rFonts w:hint="eastAsia"/>
          <w:lang w:eastAsia="zh-CN"/>
        </w:rPr>
        <w:t>，修订版</w:t>
      </w:r>
      <w:proofErr w:type="gramStart"/>
      <w:r w:rsidRPr="002B04C3">
        <w:rPr>
          <w:rFonts w:hint="eastAsia"/>
          <w:lang w:eastAsia="zh-CN"/>
        </w:rPr>
        <w:t>）</w:t>
      </w:r>
      <w:r w:rsidRPr="002B04C3">
        <w:rPr>
          <w:rFonts w:ascii="SimSun" w:hAnsi="SimSun" w:cs="SimSun" w:hint="eastAsia"/>
          <w:lang w:eastAsia="zh-CN"/>
        </w:rPr>
        <w:t>；</w:t>
      </w:r>
      <w:proofErr w:type="gramEnd"/>
    </w:p>
    <w:p w14:paraId="274B107D" w14:textId="77777777" w:rsidR="00146C65" w:rsidRPr="002B04C3" w:rsidRDefault="00146C65" w:rsidP="00146C65">
      <w:pPr>
        <w:pStyle w:val="Normalnoindent"/>
        <w:rPr>
          <w:rFonts w:eastAsia="Times New Roman"/>
          <w:lang w:eastAsia="zh-CN"/>
        </w:rPr>
      </w:pPr>
      <w:r w:rsidRPr="002B04C3">
        <w:rPr>
          <w:rFonts w:eastAsia="Times New Roman"/>
          <w:i/>
          <w:iCs/>
          <w:lang w:eastAsia="zh-CN"/>
        </w:rPr>
        <w:t>e)</w:t>
      </w:r>
      <w:r w:rsidRPr="002B04C3">
        <w:rPr>
          <w:rFonts w:eastAsia="Times New Roman"/>
          <w:lang w:eastAsia="zh-CN"/>
        </w:rPr>
        <w:tab/>
      </w:r>
      <w:r>
        <w:rPr>
          <w:rFonts w:ascii="SimSun" w:hAnsi="SimSun" w:cs="SimSun" w:hint="eastAsia"/>
          <w:lang w:eastAsia="zh-CN"/>
        </w:rPr>
        <w:t>本届</w:t>
      </w:r>
      <w:r>
        <w:rPr>
          <w:rFonts w:hint="eastAsia"/>
          <w:lang w:eastAsia="zh-CN"/>
        </w:rPr>
        <w:t>全会</w:t>
      </w:r>
      <w:r>
        <w:rPr>
          <w:rFonts w:ascii="SimSun" w:hAnsi="SimSun" w:cs="SimSun" w:hint="eastAsia"/>
          <w:lang w:eastAsia="zh-CN"/>
        </w:rPr>
        <w:t>关于</w:t>
      </w:r>
      <w:r w:rsidRPr="002B04C3">
        <w:rPr>
          <w:rFonts w:ascii="SimSun" w:hAnsi="SimSun" w:cs="SimSun"/>
          <w:lang w:eastAsia="zh-CN"/>
        </w:rPr>
        <w:t>缩小发展中国家</w:t>
      </w:r>
      <w:r>
        <w:rPr>
          <w:rStyle w:val="FootnoteReference"/>
          <w:iCs/>
          <w:lang w:eastAsia="zh-CN"/>
        </w:rPr>
        <w:footnoteReference w:customMarkFollows="1" w:id="2"/>
        <w:t>2</w:t>
      </w:r>
      <w:r w:rsidRPr="002B04C3">
        <w:rPr>
          <w:rFonts w:ascii="SimSun" w:hAnsi="SimSun" w:cs="SimSun"/>
          <w:lang w:eastAsia="zh-CN"/>
        </w:rPr>
        <w:t>与发达国家之间标准化工作差距的第</w:t>
      </w:r>
      <w:r w:rsidRPr="002B04C3">
        <w:rPr>
          <w:lang w:eastAsia="zh-CN"/>
        </w:rPr>
        <w:t>44</w:t>
      </w:r>
      <w:r w:rsidRPr="002B04C3">
        <w:rPr>
          <w:rFonts w:ascii="SimSun" w:hAnsi="SimSun" w:cs="SimSun"/>
          <w:lang w:eastAsia="zh-CN"/>
        </w:rPr>
        <w:t>号决议</w:t>
      </w:r>
      <w:r w:rsidRPr="002B04C3">
        <w:rPr>
          <w:rFonts w:ascii="SimSun" w:hAnsi="SimSun" w:cs="SimSun" w:hint="eastAsia"/>
          <w:lang w:eastAsia="zh-CN"/>
        </w:rPr>
        <w:t>（</w:t>
      </w:r>
      <w:r>
        <w:rPr>
          <w:lang w:eastAsia="zh-CN"/>
        </w:rPr>
        <w:t>2024</w:t>
      </w:r>
      <w:r>
        <w:rPr>
          <w:rFonts w:hint="eastAsia"/>
          <w:lang w:eastAsia="zh-CN"/>
        </w:rPr>
        <w:t>年，新德里</w:t>
      </w:r>
      <w:r w:rsidRPr="002B04C3">
        <w:rPr>
          <w:rFonts w:hint="eastAsia"/>
          <w:lang w:eastAsia="zh-CN"/>
        </w:rPr>
        <w:t>，修订版</w:t>
      </w:r>
      <w:proofErr w:type="gramStart"/>
      <w:r w:rsidRPr="002B04C3">
        <w:rPr>
          <w:rFonts w:hint="eastAsia"/>
          <w:lang w:eastAsia="zh-CN"/>
        </w:rPr>
        <w:t>）</w:t>
      </w:r>
      <w:r>
        <w:rPr>
          <w:rFonts w:hint="eastAsia"/>
          <w:lang w:eastAsia="zh-CN"/>
        </w:rPr>
        <w:t>；</w:t>
      </w:r>
      <w:proofErr w:type="gramEnd"/>
    </w:p>
    <w:p w14:paraId="05C44628" w14:textId="77777777" w:rsidR="00146C65" w:rsidRPr="002F235F" w:rsidRDefault="00146C65" w:rsidP="00146C65">
      <w:pPr>
        <w:rPr>
          <w:lang w:eastAsia="zh-CN"/>
        </w:rPr>
      </w:pPr>
      <w:r w:rsidRPr="002F235F">
        <w:rPr>
          <w:i/>
          <w:iCs/>
          <w:lang w:eastAsia="zh-CN"/>
        </w:rPr>
        <w:t>f)</w:t>
      </w:r>
      <w:r w:rsidRPr="002F235F">
        <w:rPr>
          <w:iCs/>
          <w:lang w:eastAsia="zh-CN"/>
        </w:rPr>
        <w:tab/>
      </w:r>
      <w:r w:rsidRPr="00022651">
        <w:rPr>
          <w:rFonts w:hint="eastAsia"/>
          <w:iCs/>
          <w:lang w:eastAsia="zh-CN"/>
        </w:rPr>
        <w:t>WTDC</w:t>
      </w:r>
      <w:r w:rsidRPr="00022651">
        <w:rPr>
          <w:rFonts w:hint="eastAsia"/>
          <w:iCs/>
          <w:lang w:eastAsia="zh-CN"/>
        </w:rPr>
        <w:t>关于促进发展中国家参与</w:t>
      </w:r>
      <w:r>
        <w:rPr>
          <w:rFonts w:hint="eastAsia"/>
          <w:iCs/>
          <w:lang w:eastAsia="zh-CN"/>
        </w:rPr>
        <w:t>国际电联</w:t>
      </w:r>
      <w:r w:rsidRPr="00022651">
        <w:rPr>
          <w:rFonts w:hint="eastAsia"/>
          <w:iCs/>
          <w:lang w:eastAsia="zh-CN"/>
        </w:rPr>
        <w:t>活动的第</w:t>
      </w:r>
      <w:r w:rsidRPr="00022651">
        <w:rPr>
          <w:rFonts w:hint="eastAsia"/>
          <w:iCs/>
          <w:lang w:eastAsia="zh-CN"/>
        </w:rPr>
        <w:t>5</w:t>
      </w:r>
      <w:r w:rsidRPr="00022651">
        <w:rPr>
          <w:rFonts w:hint="eastAsia"/>
          <w:iCs/>
          <w:lang w:eastAsia="zh-CN"/>
        </w:rPr>
        <w:t>号决议</w:t>
      </w:r>
      <w:r>
        <w:rPr>
          <w:rFonts w:hint="eastAsia"/>
          <w:iCs/>
          <w:lang w:eastAsia="zh-CN"/>
        </w:rPr>
        <w:t>（</w:t>
      </w:r>
      <w:r w:rsidRPr="00FC7EB2">
        <w:rPr>
          <w:iCs/>
          <w:lang w:eastAsia="zh-CN"/>
        </w:rPr>
        <w:t>2022</w:t>
      </w:r>
      <w:r>
        <w:rPr>
          <w:rFonts w:hint="eastAsia"/>
          <w:iCs/>
          <w:lang w:eastAsia="zh-CN"/>
        </w:rPr>
        <w:t>年，基加利，修订版），</w:t>
      </w:r>
    </w:p>
    <w:p w14:paraId="55C42F97" w14:textId="77777777" w:rsidR="00146C65" w:rsidRPr="002B04C3" w:rsidRDefault="00146C65" w:rsidP="00146C65">
      <w:pPr>
        <w:pStyle w:val="Call"/>
        <w:rPr>
          <w:lang w:eastAsia="zh-CN"/>
        </w:rPr>
      </w:pPr>
      <w:r w:rsidRPr="002B04C3">
        <w:rPr>
          <w:rFonts w:hint="eastAsia"/>
          <w:lang w:eastAsia="zh-CN"/>
        </w:rPr>
        <w:t>考虑到</w:t>
      </w:r>
    </w:p>
    <w:p w14:paraId="6262A37F" w14:textId="77777777" w:rsidR="00146C65" w:rsidRPr="002B04C3" w:rsidRDefault="00146C65" w:rsidP="00146C65">
      <w:pPr>
        <w:pStyle w:val="Normalnoindent"/>
        <w:rPr>
          <w:lang w:eastAsia="zh-CN"/>
        </w:rPr>
      </w:pPr>
      <w:r w:rsidRPr="002B04C3">
        <w:rPr>
          <w:i/>
          <w:iCs/>
          <w:lang w:eastAsia="zh-CN"/>
        </w:rPr>
        <w:t>a)</w:t>
      </w:r>
      <w:r w:rsidRPr="002B04C3">
        <w:rPr>
          <w:lang w:eastAsia="zh-CN"/>
        </w:rPr>
        <w:tab/>
      </w:r>
      <w:r w:rsidRPr="002B04C3">
        <w:rPr>
          <w:rFonts w:hint="eastAsia"/>
          <w:lang w:eastAsia="zh-CN"/>
        </w:rPr>
        <w:t>ITU-R</w:t>
      </w:r>
      <w:r w:rsidRPr="002B04C3">
        <w:rPr>
          <w:rFonts w:hint="eastAsia"/>
          <w:lang w:eastAsia="zh-CN"/>
        </w:rPr>
        <w:t>、</w:t>
      </w:r>
      <w:r w:rsidRPr="002B04C3">
        <w:rPr>
          <w:rFonts w:hint="eastAsia"/>
          <w:lang w:eastAsia="zh-CN"/>
        </w:rPr>
        <w:t>ITU-T</w:t>
      </w:r>
      <w:r w:rsidRPr="002B04C3">
        <w:rPr>
          <w:rFonts w:hint="eastAsia"/>
          <w:lang w:eastAsia="zh-CN"/>
        </w:rPr>
        <w:t>和</w:t>
      </w:r>
      <w:r w:rsidRPr="002B04C3">
        <w:rPr>
          <w:rFonts w:hint="eastAsia"/>
          <w:lang w:eastAsia="zh-CN"/>
        </w:rPr>
        <w:t>ITU-D</w:t>
      </w:r>
      <w:r w:rsidRPr="002B04C3">
        <w:rPr>
          <w:rFonts w:hint="eastAsia"/>
          <w:lang w:eastAsia="zh-CN"/>
        </w:rPr>
        <w:t>之间合作和协作的一项基本原则是避免各部门活动的重复并确保</w:t>
      </w:r>
      <w:r w:rsidRPr="00022651">
        <w:rPr>
          <w:rFonts w:hint="eastAsia"/>
          <w:lang w:eastAsia="zh-CN"/>
        </w:rPr>
        <w:t>在尊重《组织法》和《公约》规定的</w:t>
      </w:r>
      <w:r>
        <w:rPr>
          <w:rFonts w:hint="eastAsia"/>
          <w:lang w:eastAsia="zh-CN"/>
        </w:rPr>
        <w:t>各部门</w:t>
      </w:r>
      <w:r w:rsidRPr="00022651">
        <w:rPr>
          <w:rFonts w:hint="eastAsia"/>
          <w:lang w:eastAsia="zh-CN"/>
        </w:rPr>
        <w:t>具体职能的前提下</w:t>
      </w:r>
      <w:r>
        <w:rPr>
          <w:rFonts w:hint="eastAsia"/>
          <w:lang w:eastAsia="zh-CN"/>
        </w:rPr>
        <w:t>，</w:t>
      </w:r>
      <w:proofErr w:type="gramStart"/>
      <w:r w:rsidRPr="002B04C3">
        <w:rPr>
          <w:rFonts w:hint="eastAsia"/>
          <w:lang w:eastAsia="zh-CN"/>
        </w:rPr>
        <w:t>高效而有效地开展工作的</w:t>
      </w:r>
      <w:r w:rsidRPr="002B04C3">
        <w:rPr>
          <w:lang w:eastAsia="zh-CN"/>
        </w:rPr>
        <w:t>必要性</w:t>
      </w:r>
      <w:r w:rsidRPr="002B04C3">
        <w:rPr>
          <w:rFonts w:hint="eastAsia"/>
          <w:lang w:eastAsia="zh-CN"/>
        </w:rPr>
        <w:t>；</w:t>
      </w:r>
      <w:proofErr w:type="gramEnd"/>
    </w:p>
    <w:p w14:paraId="7D2731B3" w14:textId="77777777" w:rsidR="00146C65" w:rsidRPr="002B04C3" w:rsidRDefault="00146C65" w:rsidP="00146C65">
      <w:pPr>
        <w:pStyle w:val="Normalnoindent"/>
        <w:rPr>
          <w:lang w:eastAsia="zh-CN"/>
        </w:rPr>
      </w:pPr>
      <w:r w:rsidRPr="002B04C3">
        <w:rPr>
          <w:rFonts w:hint="eastAsia"/>
          <w:i/>
          <w:iCs/>
          <w:lang w:eastAsia="zh-CN"/>
        </w:rPr>
        <w:t>b</w:t>
      </w:r>
      <w:r w:rsidRPr="002B04C3">
        <w:rPr>
          <w:i/>
          <w:iCs/>
          <w:lang w:eastAsia="zh-CN"/>
        </w:rPr>
        <w:t>)</w:t>
      </w:r>
      <w:r w:rsidRPr="002B04C3">
        <w:rPr>
          <w:lang w:eastAsia="zh-CN"/>
        </w:rPr>
        <w:tab/>
      </w:r>
      <w:r w:rsidRPr="002B04C3">
        <w:rPr>
          <w:rFonts w:hint="eastAsia"/>
          <w:lang w:val="fr-CH" w:eastAsia="zh-CN"/>
        </w:rPr>
        <w:t>根据第</w:t>
      </w:r>
      <w:r w:rsidRPr="002B04C3">
        <w:rPr>
          <w:rFonts w:hint="eastAsia"/>
          <w:lang w:eastAsia="zh-CN"/>
        </w:rPr>
        <w:t>1</w:t>
      </w:r>
      <w:r w:rsidRPr="002B04C3">
        <w:rPr>
          <w:lang w:eastAsia="zh-CN"/>
        </w:rPr>
        <w:t>91</w:t>
      </w:r>
      <w:r w:rsidRPr="002B04C3">
        <w:rPr>
          <w:rFonts w:hint="eastAsia"/>
          <w:lang w:val="fr-CH" w:eastAsia="zh-CN"/>
        </w:rPr>
        <w:t>号决议</w:t>
      </w:r>
      <w:r w:rsidRPr="002B04C3">
        <w:rPr>
          <w:rFonts w:hint="eastAsia"/>
          <w:lang w:eastAsia="zh-CN"/>
        </w:rPr>
        <w:t>（</w:t>
      </w:r>
      <w:r w:rsidRPr="00485658">
        <w:rPr>
          <w:rFonts w:hint="eastAsia"/>
          <w:lang w:eastAsia="zh-CN"/>
        </w:rPr>
        <w:t>2022</w:t>
      </w:r>
      <w:r>
        <w:rPr>
          <w:rFonts w:hint="eastAsia"/>
          <w:lang w:val="fr-CH" w:eastAsia="zh-CN"/>
        </w:rPr>
        <w:t>年</w:t>
      </w:r>
      <w:r w:rsidRPr="00485658">
        <w:rPr>
          <w:rFonts w:hint="eastAsia"/>
          <w:lang w:eastAsia="zh-CN"/>
        </w:rPr>
        <w:t>，</w:t>
      </w:r>
      <w:r>
        <w:rPr>
          <w:rFonts w:hint="eastAsia"/>
          <w:lang w:val="fr-CH" w:eastAsia="zh-CN"/>
        </w:rPr>
        <w:t>布加勒斯特</w:t>
      </w:r>
      <w:r w:rsidRPr="002B04C3">
        <w:rPr>
          <w:rFonts w:hint="eastAsia"/>
          <w:lang w:eastAsia="zh-CN"/>
        </w:rPr>
        <w:t>，</w:t>
      </w:r>
      <w:r w:rsidRPr="002B04C3">
        <w:rPr>
          <w:rFonts w:hint="eastAsia"/>
          <w:lang w:val="fr-CH" w:eastAsia="zh-CN"/>
        </w:rPr>
        <w:t>修订版</w:t>
      </w:r>
      <w:r w:rsidRPr="002B04C3">
        <w:rPr>
          <w:rFonts w:hint="eastAsia"/>
          <w:lang w:eastAsia="zh-CN"/>
        </w:rPr>
        <w:t>），</w:t>
      </w:r>
      <w:proofErr w:type="gramStart"/>
      <w:r w:rsidRPr="002B04C3">
        <w:rPr>
          <w:rFonts w:hint="eastAsia"/>
          <w:lang w:eastAsia="zh-CN"/>
        </w:rPr>
        <w:t>所有部门共同感兴趣和关注的问题日益增多；</w:t>
      </w:r>
      <w:proofErr w:type="gramEnd"/>
    </w:p>
    <w:p w14:paraId="63AA95D0" w14:textId="77777777" w:rsidR="00146C65" w:rsidRDefault="00146C65" w:rsidP="00146C65">
      <w:pPr>
        <w:rPr>
          <w:lang w:eastAsia="zh-CN"/>
        </w:rPr>
      </w:pPr>
      <w:r>
        <w:rPr>
          <w:lang w:eastAsia="zh-CN"/>
        </w:rPr>
        <w:br w:type="page"/>
      </w:r>
    </w:p>
    <w:p w14:paraId="22423B15" w14:textId="77777777" w:rsidR="00146C65" w:rsidRPr="002B04C3" w:rsidRDefault="00146C65" w:rsidP="00146C65">
      <w:pPr>
        <w:pStyle w:val="Normalnoindent"/>
        <w:rPr>
          <w:lang w:eastAsia="zh-CN"/>
        </w:rPr>
      </w:pPr>
      <w:r w:rsidRPr="002B04C3">
        <w:rPr>
          <w:i/>
          <w:iCs/>
          <w:lang w:eastAsia="zh-CN"/>
        </w:rPr>
        <w:lastRenderedPageBreak/>
        <w:t>c)</w:t>
      </w:r>
      <w:r w:rsidRPr="002B04C3">
        <w:rPr>
          <w:lang w:eastAsia="zh-CN"/>
        </w:rPr>
        <w:tab/>
      </w:r>
      <w:r w:rsidRPr="002B04C3">
        <w:rPr>
          <w:rFonts w:hint="eastAsia"/>
          <w:lang w:eastAsia="zh-CN"/>
        </w:rPr>
        <w:t>由三个顾问组的代表组成的共同关心问题跨部门协调组（</w:t>
      </w:r>
      <w:r w:rsidRPr="002B04C3">
        <w:rPr>
          <w:lang w:eastAsia="zh-CN"/>
        </w:rPr>
        <w:t>ISCG</w:t>
      </w:r>
      <w:r w:rsidRPr="002B04C3">
        <w:rPr>
          <w:rFonts w:hint="eastAsia"/>
          <w:lang w:eastAsia="zh-CN"/>
        </w:rPr>
        <w:t>）致力于确定共同关心的问题以及加强各部门和总秘书处之间协作与合作的机制，并审议各局主任和跨部门协调任务组（</w:t>
      </w:r>
      <w:r w:rsidRPr="002B04C3">
        <w:rPr>
          <w:lang w:eastAsia="zh-CN"/>
        </w:rPr>
        <w:t>ISC-TF</w:t>
      </w:r>
      <w:r w:rsidRPr="002B04C3">
        <w:rPr>
          <w:rFonts w:hint="eastAsia"/>
          <w:lang w:eastAsia="zh-CN"/>
        </w:rPr>
        <w:t>）关于改进秘书处</w:t>
      </w:r>
      <w:r>
        <w:rPr>
          <w:rFonts w:hint="eastAsia"/>
          <w:lang w:eastAsia="zh-CN"/>
        </w:rPr>
        <w:t>内</w:t>
      </w:r>
      <w:r w:rsidRPr="002B04C3">
        <w:rPr>
          <w:rFonts w:hint="eastAsia"/>
          <w:lang w:eastAsia="zh-CN"/>
        </w:rPr>
        <w:t>合作与协调方案的报告</w:t>
      </w:r>
      <w:r>
        <w:rPr>
          <w:rFonts w:hint="eastAsia"/>
          <w:lang w:eastAsia="zh-CN"/>
        </w:rPr>
        <w:t>，</w:t>
      </w:r>
    </w:p>
    <w:p w14:paraId="61E16B65" w14:textId="77777777" w:rsidR="00146C65" w:rsidRPr="002B04C3" w:rsidRDefault="00146C65" w:rsidP="00146C65">
      <w:pPr>
        <w:pStyle w:val="Call"/>
        <w:rPr>
          <w:lang w:eastAsia="zh-CN"/>
        </w:rPr>
      </w:pPr>
      <w:r w:rsidRPr="002B04C3">
        <w:rPr>
          <w:rFonts w:hint="eastAsia"/>
          <w:lang w:eastAsia="zh-CN"/>
        </w:rPr>
        <w:t>认识到</w:t>
      </w:r>
    </w:p>
    <w:p w14:paraId="1FE1E892" w14:textId="77777777" w:rsidR="00146C65" w:rsidRPr="002B04C3" w:rsidRDefault="00146C65" w:rsidP="00146C65">
      <w:pPr>
        <w:pStyle w:val="Normalnoindent"/>
        <w:rPr>
          <w:lang w:eastAsia="zh-CN"/>
        </w:rPr>
      </w:pPr>
      <w:r w:rsidRPr="002B04C3">
        <w:rPr>
          <w:i/>
          <w:lang w:eastAsia="zh-CN"/>
        </w:rPr>
        <w:t>a)</w:t>
      </w:r>
      <w:r w:rsidRPr="002B04C3">
        <w:rPr>
          <w:lang w:eastAsia="zh-CN"/>
        </w:rPr>
        <w:tab/>
      </w:r>
      <w:r w:rsidRPr="002B04C3">
        <w:rPr>
          <w:rFonts w:hint="eastAsia"/>
          <w:lang w:eastAsia="zh-CN"/>
        </w:rPr>
        <w:t>有必要按照第</w:t>
      </w:r>
      <w:r w:rsidRPr="002B04C3">
        <w:rPr>
          <w:lang w:eastAsia="zh-CN"/>
        </w:rPr>
        <w:t>5</w:t>
      </w:r>
      <w:r w:rsidRPr="002B04C3">
        <w:rPr>
          <w:rFonts w:hint="eastAsia"/>
          <w:lang w:eastAsia="zh-CN"/>
        </w:rPr>
        <w:t>号决议（</w:t>
      </w:r>
      <w:r>
        <w:rPr>
          <w:rFonts w:hint="eastAsia"/>
          <w:lang w:val="en-US" w:eastAsia="zh-CN"/>
        </w:rPr>
        <w:t>2022</w:t>
      </w:r>
      <w:r>
        <w:rPr>
          <w:rFonts w:hint="eastAsia"/>
          <w:lang w:val="en-US" w:eastAsia="zh-CN"/>
        </w:rPr>
        <w:t>年，基加利</w:t>
      </w:r>
      <w:r w:rsidRPr="002B04C3">
        <w:rPr>
          <w:rFonts w:hint="eastAsia"/>
          <w:lang w:eastAsia="zh-CN"/>
        </w:rPr>
        <w:t>，修订版）所述，</w:t>
      </w:r>
      <w:proofErr w:type="gramStart"/>
      <w:r w:rsidRPr="002B04C3">
        <w:rPr>
          <w:rFonts w:hint="eastAsia"/>
          <w:lang w:eastAsia="zh-CN"/>
        </w:rPr>
        <w:t>增强发展中国家对国际电联工作的参与；</w:t>
      </w:r>
      <w:proofErr w:type="gramEnd"/>
    </w:p>
    <w:p w14:paraId="38A3EB93" w14:textId="77777777" w:rsidR="00146C65" w:rsidRPr="002B04C3" w:rsidRDefault="00146C65" w:rsidP="00146C65">
      <w:pPr>
        <w:pStyle w:val="Normalnoindent"/>
        <w:rPr>
          <w:lang w:eastAsia="zh-CN"/>
        </w:rPr>
      </w:pPr>
      <w:r w:rsidRPr="002B04C3">
        <w:rPr>
          <w:i/>
          <w:iCs/>
          <w:lang w:eastAsia="zh-CN"/>
        </w:rPr>
        <w:t>b)</w:t>
      </w:r>
      <w:r w:rsidRPr="002B04C3">
        <w:rPr>
          <w:lang w:eastAsia="zh-CN"/>
        </w:rPr>
        <w:tab/>
      </w:r>
      <w:r w:rsidRPr="002B04C3">
        <w:rPr>
          <w:rFonts w:hint="eastAsia"/>
          <w:lang w:eastAsia="zh-CN"/>
        </w:rPr>
        <w:t>一种</w:t>
      </w:r>
      <w:r w:rsidRPr="002B04C3">
        <w:rPr>
          <w:lang w:eastAsia="zh-CN"/>
        </w:rPr>
        <w:t>此类机制</w:t>
      </w:r>
      <w:r w:rsidRPr="002B04C3">
        <w:rPr>
          <w:rFonts w:hint="eastAsia"/>
          <w:lang w:eastAsia="zh-CN"/>
        </w:rPr>
        <w:t xml:space="preserve"> </w:t>
      </w:r>
      <w:r w:rsidRPr="00A2758E">
        <w:rPr>
          <w:lang w:eastAsia="zh-CN"/>
        </w:rPr>
        <w:t>–</w:t>
      </w:r>
      <w:r>
        <w:rPr>
          <w:rFonts w:hint="eastAsia"/>
          <w:lang w:eastAsia="zh-CN"/>
        </w:rPr>
        <w:t xml:space="preserve"> </w:t>
      </w:r>
      <w:r w:rsidRPr="00A2758E">
        <w:rPr>
          <w:rFonts w:hint="eastAsia"/>
          <w:lang w:eastAsia="zh-CN"/>
        </w:rPr>
        <w:t>跨部门应急通信小组</w:t>
      </w:r>
      <w:r>
        <w:rPr>
          <w:rFonts w:hint="eastAsia"/>
          <w:lang w:eastAsia="zh-CN"/>
        </w:rPr>
        <w:t xml:space="preserve"> </w:t>
      </w:r>
      <w:r w:rsidRPr="00A2758E">
        <w:rPr>
          <w:lang w:eastAsia="zh-CN"/>
        </w:rPr>
        <w:t>–</w:t>
      </w:r>
      <w:r w:rsidRPr="002B04C3">
        <w:rPr>
          <w:lang w:eastAsia="zh-CN"/>
        </w:rPr>
        <w:t xml:space="preserve"> </w:t>
      </w:r>
      <w:r w:rsidRPr="002B04C3">
        <w:rPr>
          <w:rFonts w:hint="eastAsia"/>
          <w:lang w:eastAsia="zh-CN"/>
        </w:rPr>
        <w:t>已经</w:t>
      </w:r>
      <w:r w:rsidRPr="002B04C3">
        <w:rPr>
          <w:lang w:eastAsia="zh-CN"/>
        </w:rPr>
        <w:t>建立</w:t>
      </w:r>
      <w:r w:rsidRPr="002B04C3">
        <w:rPr>
          <w:rFonts w:hint="eastAsia"/>
          <w:lang w:eastAsia="zh-CN"/>
        </w:rPr>
        <w:t>，</w:t>
      </w:r>
      <w:proofErr w:type="gramStart"/>
      <w:r w:rsidRPr="002B04C3">
        <w:rPr>
          <w:rFonts w:hint="eastAsia"/>
          <w:lang w:eastAsia="zh-CN"/>
        </w:rPr>
        <w:t>以确保在整个国际电联内部以及与国际电联之外</w:t>
      </w:r>
      <w:r>
        <w:rPr>
          <w:rFonts w:hint="eastAsia"/>
          <w:lang w:eastAsia="zh-CN"/>
        </w:rPr>
        <w:t>关心</w:t>
      </w:r>
      <w:r w:rsidRPr="002B04C3">
        <w:rPr>
          <w:rFonts w:hint="eastAsia"/>
          <w:lang w:eastAsia="zh-CN"/>
        </w:rPr>
        <w:t>此问题的各实体和组织针对此项国际电联</w:t>
      </w:r>
      <w:r>
        <w:rPr>
          <w:rFonts w:hint="eastAsia"/>
          <w:lang w:eastAsia="zh-CN"/>
        </w:rPr>
        <w:t>关键</w:t>
      </w:r>
      <w:r w:rsidRPr="002B04C3">
        <w:rPr>
          <w:lang w:eastAsia="zh-CN"/>
        </w:rPr>
        <w:t>优先</w:t>
      </w:r>
      <w:r>
        <w:rPr>
          <w:rFonts w:hint="eastAsia"/>
          <w:lang w:eastAsia="zh-CN"/>
        </w:rPr>
        <w:t>问题</w:t>
      </w:r>
      <w:r w:rsidRPr="002B04C3">
        <w:rPr>
          <w:rFonts w:hint="eastAsia"/>
          <w:lang w:eastAsia="zh-CN"/>
        </w:rPr>
        <w:t>开展密切协作；</w:t>
      </w:r>
      <w:proofErr w:type="gramEnd"/>
    </w:p>
    <w:p w14:paraId="03914BA2" w14:textId="77777777" w:rsidR="00146C65" w:rsidRPr="002B04C3" w:rsidRDefault="00146C65" w:rsidP="00146C65">
      <w:pPr>
        <w:pStyle w:val="Normalnoindent"/>
        <w:rPr>
          <w:lang w:eastAsia="zh-CN"/>
        </w:rPr>
      </w:pPr>
      <w:r w:rsidRPr="002B04C3">
        <w:rPr>
          <w:i/>
          <w:iCs/>
          <w:lang w:eastAsia="zh-CN"/>
        </w:rPr>
        <w:t>c)</w:t>
      </w:r>
      <w:r w:rsidRPr="002B04C3">
        <w:rPr>
          <w:lang w:eastAsia="zh-CN"/>
        </w:rPr>
        <w:tab/>
      </w:r>
      <w:r w:rsidRPr="002B04C3">
        <w:rPr>
          <w:rFonts w:hint="eastAsia"/>
          <w:lang w:eastAsia="zh-CN"/>
        </w:rPr>
        <w:t>所有顾问组均在为落实全权代表大会有关缩小发展中国家与发达国家之间标准化工作差距的第</w:t>
      </w:r>
      <w:r w:rsidRPr="002B04C3">
        <w:rPr>
          <w:rFonts w:hint="eastAsia"/>
          <w:lang w:eastAsia="zh-CN"/>
        </w:rPr>
        <w:t>123</w:t>
      </w:r>
      <w:r w:rsidRPr="002B04C3">
        <w:rPr>
          <w:rFonts w:hint="eastAsia"/>
          <w:lang w:eastAsia="zh-CN"/>
        </w:rPr>
        <w:t>号决议（</w:t>
      </w:r>
      <w:r>
        <w:rPr>
          <w:rFonts w:hint="eastAsia"/>
          <w:lang w:eastAsia="zh-CN"/>
        </w:rPr>
        <w:t>2022</w:t>
      </w:r>
      <w:r>
        <w:rPr>
          <w:rFonts w:hint="eastAsia"/>
          <w:lang w:eastAsia="zh-CN"/>
        </w:rPr>
        <w:t>年，布加勒斯特</w:t>
      </w:r>
      <w:r w:rsidRPr="002B04C3">
        <w:rPr>
          <w:rFonts w:hint="eastAsia"/>
          <w:lang w:eastAsia="zh-CN"/>
        </w:rPr>
        <w:t>，修订版）</w:t>
      </w:r>
      <w:proofErr w:type="gramStart"/>
      <w:r w:rsidRPr="002B04C3">
        <w:rPr>
          <w:rFonts w:hint="eastAsia"/>
          <w:lang w:eastAsia="zh-CN"/>
        </w:rPr>
        <w:t>开展协作</w:t>
      </w:r>
      <w:r>
        <w:rPr>
          <w:rFonts w:hint="eastAsia"/>
          <w:lang w:eastAsia="zh-CN"/>
        </w:rPr>
        <w:t>；</w:t>
      </w:r>
      <w:proofErr w:type="gramEnd"/>
    </w:p>
    <w:p w14:paraId="780F4889" w14:textId="77777777" w:rsidR="00146C65" w:rsidRPr="002F235F" w:rsidRDefault="00146C65" w:rsidP="00146C65">
      <w:pPr>
        <w:rPr>
          <w:szCs w:val="24"/>
          <w:lang w:eastAsia="zh-CN"/>
        </w:rPr>
      </w:pPr>
      <w:r w:rsidRPr="002F235F">
        <w:rPr>
          <w:i/>
          <w:szCs w:val="24"/>
          <w:lang w:eastAsia="zh-CN"/>
        </w:rPr>
        <w:t>d)</w:t>
      </w:r>
      <w:r w:rsidRPr="002F235F">
        <w:rPr>
          <w:szCs w:val="24"/>
          <w:lang w:eastAsia="zh-CN"/>
        </w:rPr>
        <w:tab/>
      </w:r>
      <w:r>
        <w:rPr>
          <w:rFonts w:hint="eastAsia"/>
          <w:lang w:eastAsia="zh-CN"/>
        </w:rPr>
        <w:t>在联合举办研讨会、讲习班、论坛、专题研讨会等方面开展的互动与协调已在节省财务和人力资源方面取得了积极成果；</w:t>
      </w:r>
    </w:p>
    <w:p w14:paraId="7D5EA2EE" w14:textId="77777777" w:rsidR="00146C65" w:rsidRPr="002F235F" w:rsidRDefault="00146C65" w:rsidP="00146C65">
      <w:pPr>
        <w:rPr>
          <w:szCs w:val="24"/>
          <w:lang w:eastAsia="zh-CN"/>
        </w:rPr>
      </w:pPr>
      <w:r w:rsidRPr="002F235F">
        <w:rPr>
          <w:i/>
          <w:szCs w:val="24"/>
          <w:lang w:eastAsia="zh-CN"/>
        </w:rPr>
        <w:t>e)</w:t>
      </w:r>
      <w:r w:rsidRPr="002F235F">
        <w:rPr>
          <w:szCs w:val="24"/>
          <w:lang w:eastAsia="zh-CN"/>
        </w:rPr>
        <w:tab/>
      </w:r>
      <w:r>
        <w:rPr>
          <w:rFonts w:hint="eastAsia"/>
          <w:lang w:eastAsia="zh-CN"/>
        </w:rPr>
        <w:t>电子远程参会将减少差旅费用，并将促进发展中国家更广泛地参与需要其出席的</w:t>
      </w:r>
      <w:r w:rsidRPr="002F235F">
        <w:rPr>
          <w:szCs w:val="24"/>
          <w:lang w:eastAsia="zh-CN"/>
        </w:rPr>
        <w:t>ITU</w:t>
      </w:r>
      <w:r w:rsidRPr="002F235F">
        <w:rPr>
          <w:szCs w:val="24"/>
          <w:lang w:eastAsia="zh-CN"/>
        </w:rPr>
        <w:noBreakHyphen/>
        <w:t>T</w:t>
      </w:r>
      <w:r>
        <w:rPr>
          <w:rFonts w:hint="eastAsia"/>
          <w:lang w:eastAsia="zh-CN"/>
        </w:rPr>
        <w:t>会议的工作</w:t>
      </w:r>
      <w:r w:rsidRPr="004B208A">
        <w:rPr>
          <w:lang w:eastAsia="zh-CN"/>
        </w:rPr>
        <w:t>，</w:t>
      </w:r>
    </w:p>
    <w:p w14:paraId="329D8BB5" w14:textId="77777777" w:rsidR="00146C65" w:rsidRPr="002F235F" w:rsidRDefault="00146C65" w:rsidP="00146C65">
      <w:pPr>
        <w:pStyle w:val="Call"/>
        <w:rPr>
          <w:szCs w:val="24"/>
          <w:lang w:eastAsia="zh-CN"/>
        </w:rPr>
      </w:pPr>
      <w:r>
        <w:rPr>
          <w:rFonts w:hint="eastAsia"/>
          <w:szCs w:val="24"/>
          <w:lang w:eastAsia="zh-CN"/>
        </w:rPr>
        <w:t>顾及</w:t>
      </w:r>
    </w:p>
    <w:p w14:paraId="61057359" w14:textId="77777777" w:rsidR="00146C65" w:rsidRPr="002F235F" w:rsidRDefault="00146C65" w:rsidP="00146C65">
      <w:pPr>
        <w:rPr>
          <w:lang w:eastAsia="zh-CN"/>
        </w:rPr>
      </w:pPr>
      <w:r w:rsidRPr="002F235F">
        <w:rPr>
          <w:i/>
          <w:lang w:eastAsia="zh-CN"/>
        </w:rPr>
        <w:t>a)</w:t>
      </w:r>
      <w:r w:rsidRPr="002F235F">
        <w:rPr>
          <w:lang w:eastAsia="zh-CN"/>
        </w:rPr>
        <w:tab/>
      </w:r>
      <w:r>
        <w:rPr>
          <w:rFonts w:hint="eastAsia"/>
          <w:lang w:eastAsia="zh-CN"/>
        </w:rPr>
        <w:t>三个部门之间联合研究的范围不断扩大，需要就此开展协调与合作；</w:t>
      </w:r>
    </w:p>
    <w:p w14:paraId="2926F9F2" w14:textId="77777777" w:rsidR="00146C65" w:rsidRPr="002F235F" w:rsidRDefault="00146C65" w:rsidP="00146C65">
      <w:pPr>
        <w:rPr>
          <w:lang w:eastAsia="zh-CN"/>
        </w:rPr>
      </w:pPr>
      <w:r w:rsidRPr="002F235F">
        <w:rPr>
          <w:i/>
          <w:lang w:eastAsia="zh-CN"/>
        </w:rPr>
        <w:t>b)</w:t>
      </w:r>
      <w:r w:rsidRPr="002F235F">
        <w:rPr>
          <w:lang w:eastAsia="zh-CN"/>
        </w:rPr>
        <w:tab/>
      </w:r>
      <w:r>
        <w:rPr>
          <w:rFonts w:hint="eastAsia"/>
          <w:lang w:eastAsia="zh-CN"/>
        </w:rPr>
        <w:t>三个部门共同关心和关注的问题日益增多，</w:t>
      </w:r>
    </w:p>
    <w:p w14:paraId="574F7FDF" w14:textId="77777777" w:rsidR="00146C65" w:rsidRPr="002B04C3" w:rsidRDefault="00146C65" w:rsidP="00146C65">
      <w:pPr>
        <w:pStyle w:val="Call"/>
        <w:rPr>
          <w:lang w:eastAsia="zh-CN"/>
        </w:rPr>
      </w:pPr>
      <w:r w:rsidRPr="002B04C3">
        <w:rPr>
          <w:rFonts w:hint="eastAsia"/>
          <w:lang w:eastAsia="zh-CN"/>
        </w:rPr>
        <w:t>注意到</w:t>
      </w:r>
    </w:p>
    <w:p w14:paraId="1FE96861" w14:textId="77777777" w:rsidR="00146C65" w:rsidRPr="002B04C3" w:rsidRDefault="00146C65" w:rsidP="00146C65">
      <w:pPr>
        <w:ind w:firstLineChars="200" w:firstLine="480"/>
        <w:rPr>
          <w:lang w:eastAsia="zh-CN"/>
        </w:rPr>
      </w:pPr>
      <w:r w:rsidRPr="002B04C3">
        <w:rPr>
          <w:lang w:eastAsia="zh-CN"/>
        </w:rPr>
        <w:t>ITU-R</w:t>
      </w:r>
      <w:r w:rsidRPr="002B04C3">
        <w:rPr>
          <w:lang w:eastAsia="zh-CN"/>
        </w:rPr>
        <w:t>第</w:t>
      </w:r>
      <w:r>
        <w:rPr>
          <w:rFonts w:hint="eastAsia"/>
          <w:lang w:eastAsia="zh-CN"/>
        </w:rPr>
        <w:t>75</w:t>
      </w:r>
      <w:r w:rsidRPr="002B04C3">
        <w:rPr>
          <w:lang w:eastAsia="zh-CN"/>
        </w:rPr>
        <w:t>号决议</w:t>
      </w:r>
      <w:r w:rsidRPr="002B04C3">
        <w:rPr>
          <w:rFonts w:hint="eastAsia"/>
          <w:lang w:eastAsia="zh-CN"/>
        </w:rPr>
        <w:t>（</w:t>
      </w:r>
      <w:r>
        <w:rPr>
          <w:rFonts w:hint="eastAsia"/>
          <w:lang w:eastAsia="zh-CN"/>
        </w:rPr>
        <w:t>2023</w:t>
      </w:r>
      <w:r>
        <w:rPr>
          <w:rFonts w:hint="eastAsia"/>
          <w:lang w:eastAsia="zh-CN"/>
        </w:rPr>
        <w:t>年，迪拜</w:t>
      </w:r>
      <w:r w:rsidRPr="002B04C3">
        <w:rPr>
          <w:rFonts w:hint="eastAsia"/>
          <w:lang w:eastAsia="zh-CN"/>
        </w:rPr>
        <w:t>）</w:t>
      </w:r>
      <w:r>
        <w:rPr>
          <w:rFonts w:hint="eastAsia"/>
          <w:lang w:eastAsia="zh-CN"/>
        </w:rPr>
        <w:t>为</w:t>
      </w:r>
      <w:r w:rsidRPr="002B04C3">
        <w:rPr>
          <w:rFonts w:hint="eastAsia"/>
          <w:lang w:eastAsia="zh-CN"/>
        </w:rPr>
        <w:t>持续</w:t>
      </w:r>
      <w:r>
        <w:rPr>
          <w:rFonts w:hint="eastAsia"/>
          <w:lang w:eastAsia="zh-CN"/>
        </w:rPr>
        <w:t>审议</w:t>
      </w:r>
      <w:r w:rsidRPr="002B04C3">
        <w:rPr>
          <w:lang w:eastAsia="zh-CN"/>
        </w:rPr>
        <w:t>ITU</w:t>
      </w:r>
      <w:r w:rsidRPr="002B04C3">
        <w:rPr>
          <w:lang w:eastAsia="zh-CN"/>
        </w:rPr>
        <w:noBreakHyphen/>
        <w:t>R</w:t>
      </w:r>
      <w:r w:rsidRPr="002B04C3">
        <w:rPr>
          <w:rFonts w:hint="eastAsia"/>
          <w:lang w:eastAsia="zh-CN"/>
        </w:rPr>
        <w:t>与</w:t>
      </w:r>
      <w:r w:rsidRPr="002B04C3">
        <w:rPr>
          <w:lang w:eastAsia="zh-CN"/>
        </w:rPr>
        <w:t>ITU</w:t>
      </w:r>
      <w:r w:rsidRPr="002B04C3">
        <w:rPr>
          <w:lang w:eastAsia="zh-CN"/>
        </w:rPr>
        <w:noBreakHyphen/>
        <w:t>T</w:t>
      </w:r>
      <w:r w:rsidRPr="002B04C3">
        <w:rPr>
          <w:lang w:eastAsia="zh-CN"/>
        </w:rPr>
        <w:t>之间</w:t>
      </w:r>
      <w:r w:rsidRPr="002B04C3">
        <w:rPr>
          <w:rFonts w:hint="eastAsia"/>
          <w:lang w:eastAsia="zh-CN"/>
        </w:rPr>
        <w:t>的</w:t>
      </w:r>
      <w:r w:rsidRPr="002B04C3">
        <w:rPr>
          <w:lang w:eastAsia="zh-CN"/>
        </w:rPr>
        <w:t>分工与合作</w:t>
      </w:r>
      <w:r>
        <w:rPr>
          <w:rFonts w:hint="eastAsia"/>
          <w:lang w:eastAsia="zh-CN"/>
        </w:rPr>
        <w:t>规定了</w:t>
      </w:r>
      <w:r w:rsidRPr="002B04C3">
        <w:rPr>
          <w:lang w:eastAsia="zh-CN"/>
        </w:rPr>
        <w:t>机制</w:t>
      </w:r>
      <w:r w:rsidRPr="002B04C3">
        <w:rPr>
          <w:rFonts w:hint="eastAsia"/>
          <w:lang w:eastAsia="zh-CN"/>
        </w:rPr>
        <w:t>，</w:t>
      </w:r>
    </w:p>
    <w:p w14:paraId="585606F6" w14:textId="77777777" w:rsidR="00146C65" w:rsidRPr="002B04C3" w:rsidRDefault="00146C65" w:rsidP="00146C65">
      <w:pPr>
        <w:pStyle w:val="Call"/>
        <w:jc w:val="both"/>
        <w:rPr>
          <w:lang w:eastAsia="zh-CN"/>
        </w:rPr>
      </w:pPr>
      <w:r w:rsidRPr="002B04C3">
        <w:rPr>
          <w:rFonts w:hint="eastAsia"/>
          <w:lang w:eastAsia="zh-CN"/>
        </w:rPr>
        <w:t>做出决议</w:t>
      </w:r>
    </w:p>
    <w:p w14:paraId="7755EE45" w14:textId="3264D7F2" w:rsidR="00146C65" w:rsidRPr="002B04C3" w:rsidRDefault="00146C65" w:rsidP="00146C65">
      <w:pPr>
        <w:pStyle w:val="Normalnoindent"/>
        <w:rPr>
          <w:lang w:eastAsia="zh-CN"/>
        </w:rPr>
      </w:pPr>
      <w:r w:rsidRPr="002B04C3">
        <w:rPr>
          <w:lang w:eastAsia="zh-CN"/>
        </w:rPr>
        <w:t>1</w:t>
      </w:r>
      <w:r w:rsidRPr="002B04C3">
        <w:rPr>
          <w:rFonts w:hint="eastAsia"/>
          <w:lang w:eastAsia="zh-CN"/>
        </w:rPr>
        <w:tab/>
      </w:r>
      <w:r w:rsidRPr="002B04C3">
        <w:rPr>
          <w:rFonts w:hint="eastAsia"/>
          <w:lang w:eastAsia="zh-CN"/>
        </w:rPr>
        <w:t>无线电通信顾问组（</w:t>
      </w:r>
      <w:r w:rsidRPr="002B04C3">
        <w:rPr>
          <w:lang w:eastAsia="zh-CN"/>
        </w:rPr>
        <w:t>RAG</w:t>
      </w:r>
      <w:r w:rsidRPr="002B04C3">
        <w:rPr>
          <w:rFonts w:hint="eastAsia"/>
          <w:lang w:eastAsia="zh-CN"/>
        </w:rPr>
        <w:t>）、</w:t>
      </w:r>
      <w:r>
        <w:rPr>
          <w:rFonts w:hint="eastAsia"/>
          <w:lang w:eastAsia="zh-CN"/>
        </w:rPr>
        <w:t>电信标准化顾问组（</w:t>
      </w:r>
      <w:r w:rsidRPr="002B04C3">
        <w:rPr>
          <w:lang w:eastAsia="zh-CN"/>
        </w:rPr>
        <w:t>TSAG</w:t>
      </w:r>
      <w:r>
        <w:rPr>
          <w:rFonts w:hint="eastAsia"/>
          <w:lang w:eastAsia="zh-CN"/>
        </w:rPr>
        <w:t>）</w:t>
      </w:r>
      <w:r w:rsidRPr="002B04C3">
        <w:rPr>
          <w:rFonts w:hint="eastAsia"/>
          <w:lang w:eastAsia="zh-CN"/>
        </w:rPr>
        <w:t>和电信发展顾问组（</w:t>
      </w:r>
      <w:r w:rsidRPr="002B04C3">
        <w:rPr>
          <w:lang w:eastAsia="zh-CN"/>
        </w:rPr>
        <w:t>TDAG</w:t>
      </w:r>
      <w:r w:rsidRPr="002B04C3">
        <w:rPr>
          <w:rFonts w:hint="eastAsia"/>
          <w:lang w:eastAsia="zh-CN"/>
        </w:rPr>
        <w:t>）必要时召开</w:t>
      </w:r>
      <w:r>
        <w:rPr>
          <w:rFonts w:hint="eastAsia"/>
          <w:lang w:eastAsia="zh-CN"/>
        </w:rPr>
        <w:t>联合</w:t>
      </w:r>
      <w:r w:rsidRPr="002B04C3">
        <w:rPr>
          <w:rFonts w:hint="eastAsia"/>
          <w:lang w:eastAsia="zh-CN"/>
        </w:rPr>
        <w:t>会议，须继续审议新工作和现有工作及其在</w:t>
      </w:r>
      <w:r w:rsidRPr="002B04C3">
        <w:rPr>
          <w:lang w:eastAsia="zh-CN"/>
        </w:rPr>
        <w:t>ITU-R</w:t>
      </w:r>
      <w:r w:rsidRPr="002B04C3">
        <w:rPr>
          <w:rFonts w:hint="eastAsia"/>
          <w:lang w:eastAsia="zh-CN"/>
        </w:rPr>
        <w:t>、</w:t>
      </w:r>
      <w:r w:rsidRPr="002B04C3">
        <w:rPr>
          <w:lang w:eastAsia="zh-CN"/>
        </w:rPr>
        <w:t>ITU-T</w:t>
      </w:r>
      <w:r w:rsidRPr="002B04C3">
        <w:rPr>
          <w:rFonts w:hint="eastAsia"/>
          <w:lang w:eastAsia="zh-CN"/>
        </w:rPr>
        <w:t>和</w:t>
      </w:r>
      <w:r w:rsidRPr="002B04C3">
        <w:rPr>
          <w:lang w:eastAsia="zh-CN"/>
        </w:rPr>
        <w:t>ITU</w:t>
      </w:r>
      <w:r w:rsidR="00523FB0" w:rsidRPr="0030496B">
        <w:rPr>
          <w:lang w:eastAsia="zh-CN"/>
        </w:rPr>
        <w:noBreakHyphen/>
      </w:r>
      <w:r w:rsidRPr="002B04C3">
        <w:rPr>
          <w:lang w:eastAsia="zh-CN"/>
        </w:rPr>
        <w:t>D</w:t>
      </w:r>
      <w:r w:rsidRPr="002B04C3">
        <w:rPr>
          <w:rFonts w:hint="eastAsia"/>
          <w:lang w:eastAsia="zh-CN"/>
        </w:rPr>
        <w:t>之间的分配情况，以便由</w:t>
      </w:r>
      <w:r w:rsidRPr="002B04C3">
        <w:rPr>
          <w:lang w:eastAsia="zh-CN"/>
        </w:rPr>
        <w:t>成员</w:t>
      </w:r>
      <w:r w:rsidRPr="002B04C3">
        <w:rPr>
          <w:rFonts w:hint="eastAsia"/>
          <w:lang w:eastAsia="zh-CN"/>
        </w:rPr>
        <w:t>国根据</w:t>
      </w:r>
      <w:r>
        <w:rPr>
          <w:rFonts w:hint="eastAsia"/>
          <w:lang w:eastAsia="zh-CN"/>
        </w:rPr>
        <w:t>第</w:t>
      </w:r>
      <w:r>
        <w:rPr>
          <w:rFonts w:hint="eastAsia"/>
          <w:lang w:eastAsia="zh-CN"/>
        </w:rPr>
        <w:t>191</w:t>
      </w:r>
      <w:r>
        <w:rPr>
          <w:rFonts w:hint="eastAsia"/>
          <w:lang w:eastAsia="zh-CN"/>
        </w:rPr>
        <w:t>号决议（</w:t>
      </w:r>
      <w:r>
        <w:rPr>
          <w:rFonts w:hint="eastAsia"/>
          <w:lang w:eastAsia="zh-CN"/>
        </w:rPr>
        <w:t>2022</w:t>
      </w:r>
      <w:r>
        <w:rPr>
          <w:rFonts w:hint="eastAsia"/>
          <w:lang w:eastAsia="zh-CN"/>
        </w:rPr>
        <w:t>年，布加勒斯特，修订版）规定的</w:t>
      </w:r>
      <w:r w:rsidRPr="002B04C3">
        <w:rPr>
          <w:rFonts w:hint="eastAsia"/>
          <w:lang w:eastAsia="zh-CN"/>
        </w:rPr>
        <w:t>有关批准新课题和</w:t>
      </w:r>
      <w:r w:rsidRPr="002B04C3">
        <w:rPr>
          <w:lang w:eastAsia="zh-CN"/>
        </w:rPr>
        <w:t>/</w:t>
      </w:r>
      <w:proofErr w:type="gramStart"/>
      <w:r w:rsidRPr="002B04C3">
        <w:rPr>
          <w:rFonts w:hint="eastAsia"/>
          <w:lang w:eastAsia="zh-CN"/>
        </w:rPr>
        <w:t>或</w:t>
      </w:r>
      <w:r>
        <w:rPr>
          <w:rFonts w:hint="eastAsia"/>
          <w:lang w:eastAsia="zh-CN"/>
        </w:rPr>
        <w:t>经</w:t>
      </w:r>
      <w:r w:rsidRPr="002B04C3">
        <w:rPr>
          <w:rFonts w:hint="eastAsia"/>
          <w:lang w:eastAsia="zh-CN"/>
        </w:rPr>
        <w:t>修订</w:t>
      </w:r>
      <w:r>
        <w:rPr>
          <w:rFonts w:hint="eastAsia"/>
          <w:lang w:eastAsia="zh-CN"/>
        </w:rPr>
        <w:t>的</w:t>
      </w:r>
      <w:r w:rsidRPr="002B04C3">
        <w:rPr>
          <w:rFonts w:hint="eastAsia"/>
          <w:lang w:eastAsia="zh-CN"/>
        </w:rPr>
        <w:t>课题的程序</w:t>
      </w:r>
      <w:r>
        <w:rPr>
          <w:rFonts w:hint="eastAsia"/>
          <w:lang w:eastAsia="zh-CN"/>
        </w:rPr>
        <w:t>予以</w:t>
      </w:r>
      <w:r w:rsidRPr="002B04C3">
        <w:rPr>
          <w:rFonts w:hint="eastAsia"/>
          <w:lang w:eastAsia="zh-CN"/>
        </w:rPr>
        <w:t>批准；</w:t>
      </w:r>
      <w:proofErr w:type="gramEnd"/>
    </w:p>
    <w:p w14:paraId="36A2C447" w14:textId="77777777" w:rsidR="00146C65" w:rsidRDefault="00146C65" w:rsidP="00146C65">
      <w:pPr>
        <w:rPr>
          <w:lang w:eastAsia="zh-CN"/>
        </w:rPr>
      </w:pPr>
      <w:r>
        <w:rPr>
          <w:lang w:eastAsia="zh-CN"/>
        </w:rPr>
        <w:br w:type="page"/>
      </w:r>
    </w:p>
    <w:p w14:paraId="1D50B156" w14:textId="77777777" w:rsidR="00146C65" w:rsidRPr="002B04C3" w:rsidRDefault="00146C65" w:rsidP="00146C65">
      <w:pPr>
        <w:pStyle w:val="Normalnoindent"/>
        <w:rPr>
          <w:lang w:eastAsia="zh-CN"/>
        </w:rPr>
      </w:pPr>
      <w:r w:rsidRPr="002B04C3">
        <w:rPr>
          <w:lang w:eastAsia="zh-CN"/>
        </w:rPr>
        <w:lastRenderedPageBreak/>
        <w:t>2</w:t>
      </w:r>
      <w:r w:rsidRPr="002B04C3">
        <w:rPr>
          <w:rFonts w:hint="eastAsia"/>
          <w:lang w:eastAsia="zh-CN"/>
        </w:rPr>
        <w:tab/>
      </w:r>
      <w:r w:rsidRPr="002B04C3">
        <w:rPr>
          <w:rFonts w:hint="eastAsia"/>
          <w:lang w:eastAsia="zh-CN"/>
        </w:rPr>
        <w:t>如认为任何两个</w:t>
      </w:r>
      <w:r w:rsidRPr="002B04C3">
        <w:rPr>
          <w:lang w:eastAsia="zh-CN"/>
        </w:rPr>
        <w:t>或</w:t>
      </w:r>
      <w:r w:rsidRPr="002B04C3">
        <w:rPr>
          <w:rFonts w:hint="eastAsia"/>
          <w:lang w:eastAsia="zh-CN"/>
        </w:rPr>
        <w:t>所有部门对某一问题均负有相当责任，</w:t>
      </w:r>
      <w:r w:rsidRPr="002B04C3">
        <w:rPr>
          <w:lang w:eastAsia="zh-CN"/>
        </w:rPr>
        <w:t>则</w:t>
      </w:r>
      <w:r w:rsidRPr="002B04C3">
        <w:rPr>
          <w:rFonts w:hint="eastAsia"/>
          <w:lang w:eastAsia="zh-CN"/>
        </w:rPr>
        <w:t>：</w:t>
      </w:r>
    </w:p>
    <w:p w14:paraId="3BAFE60B" w14:textId="77777777" w:rsidR="00146C65" w:rsidRPr="002B04C3" w:rsidRDefault="00146C65" w:rsidP="00146C65">
      <w:pPr>
        <w:pStyle w:val="enumlev1"/>
        <w:rPr>
          <w:lang w:eastAsia="zh-CN"/>
        </w:rPr>
      </w:pPr>
      <w:r w:rsidRPr="002B04C3">
        <w:rPr>
          <w:lang w:eastAsia="zh-CN"/>
        </w:rPr>
        <w:t>i)</w:t>
      </w:r>
      <w:r w:rsidRPr="002B04C3">
        <w:rPr>
          <w:rFonts w:hint="eastAsia"/>
          <w:lang w:eastAsia="zh-CN"/>
        </w:rPr>
        <w:tab/>
      </w:r>
      <w:r w:rsidRPr="002B04C3">
        <w:rPr>
          <w:rFonts w:hint="eastAsia"/>
          <w:lang w:eastAsia="zh-CN"/>
        </w:rPr>
        <w:t>应采用本决议附件</w:t>
      </w:r>
      <w:r w:rsidRPr="002B04C3">
        <w:rPr>
          <w:lang w:eastAsia="zh-CN"/>
        </w:rPr>
        <w:t>A</w:t>
      </w:r>
      <w:r w:rsidRPr="002B04C3">
        <w:rPr>
          <w:rFonts w:hint="eastAsia"/>
          <w:lang w:eastAsia="zh-CN"/>
        </w:rPr>
        <w:t>中的程序；或</w:t>
      </w:r>
    </w:p>
    <w:p w14:paraId="6618F781" w14:textId="77777777" w:rsidR="00146C65" w:rsidRPr="002B04C3" w:rsidRDefault="00146C65" w:rsidP="00146C65">
      <w:pPr>
        <w:pStyle w:val="enumlev1"/>
        <w:rPr>
          <w:lang w:eastAsia="zh-CN"/>
        </w:rPr>
      </w:pPr>
      <w:r w:rsidRPr="002B04C3">
        <w:rPr>
          <w:lang w:eastAsia="zh-CN"/>
        </w:rPr>
        <w:t>ii)</w:t>
      </w:r>
      <w:r w:rsidRPr="002B04C3">
        <w:rPr>
          <w:rFonts w:hint="eastAsia"/>
          <w:lang w:eastAsia="zh-CN"/>
        </w:rPr>
        <w:tab/>
      </w:r>
      <w:r w:rsidRPr="002B04C3">
        <w:rPr>
          <w:rFonts w:hint="eastAsia"/>
          <w:lang w:eastAsia="zh-CN"/>
        </w:rPr>
        <w:t>应在适当协调并匹配</w:t>
      </w:r>
      <w:r w:rsidRPr="002B04C3">
        <w:rPr>
          <w:rFonts w:hint="eastAsia"/>
          <w:lang w:eastAsia="zh-CN"/>
        </w:rPr>
        <w:t>ITU-T</w:t>
      </w:r>
      <w:r w:rsidRPr="002B04C3">
        <w:rPr>
          <w:rFonts w:hint="eastAsia"/>
          <w:lang w:eastAsia="zh-CN"/>
        </w:rPr>
        <w:t>、</w:t>
      </w:r>
      <w:r w:rsidRPr="002B04C3">
        <w:rPr>
          <w:rFonts w:hint="eastAsia"/>
          <w:lang w:eastAsia="zh-CN"/>
        </w:rPr>
        <w:t>ITU-D</w:t>
      </w:r>
      <w:r w:rsidRPr="002B04C3">
        <w:rPr>
          <w:rFonts w:hint="eastAsia"/>
          <w:lang w:eastAsia="zh-CN"/>
        </w:rPr>
        <w:t>和</w:t>
      </w:r>
      <w:r w:rsidRPr="002B04C3">
        <w:rPr>
          <w:rFonts w:hint="eastAsia"/>
          <w:lang w:eastAsia="zh-CN"/>
        </w:rPr>
        <w:t>ITU-R</w:t>
      </w:r>
      <w:r w:rsidRPr="002B04C3">
        <w:rPr>
          <w:rFonts w:hint="eastAsia"/>
          <w:lang w:eastAsia="zh-CN"/>
        </w:rPr>
        <w:t>研究组</w:t>
      </w:r>
      <w:r>
        <w:rPr>
          <w:rFonts w:hint="eastAsia"/>
          <w:lang w:eastAsia="zh-CN"/>
        </w:rPr>
        <w:t>所关心</w:t>
      </w:r>
      <w:r w:rsidRPr="002B04C3">
        <w:rPr>
          <w:rFonts w:hint="eastAsia"/>
          <w:lang w:eastAsia="zh-CN"/>
        </w:rPr>
        <w:t>的相关课题</w:t>
      </w:r>
      <w:r>
        <w:rPr>
          <w:rFonts w:hint="eastAsia"/>
          <w:lang w:eastAsia="zh-CN"/>
        </w:rPr>
        <w:t>议题</w:t>
      </w:r>
      <w:r w:rsidRPr="002B04C3">
        <w:rPr>
          <w:rFonts w:hint="eastAsia"/>
          <w:lang w:eastAsia="zh-CN"/>
        </w:rPr>
        <w:t>的情况下由所涉部门的相关研究组研究该问题（见本决议的附件</w:t>
      </w:r>
      <w:r w:rsidRPr="002B04C3">
        <w:rPr>
          <w:lang w:eastAsia="zh-CN"/>
        </w:rPr>
        <w:t>B</w:t>
      </w:r>
      <w:r w:rsidRPr="002B04C3">
        <w:rPr>
          <w:rFonts w:hint="eastAsia"/>
          <w:lang w:eastAsia="zh-CN"/>
        </w:rPr>
        <w:t>和</w:t>
      </w:r>
      <w:r w:rsidRPr="002B04C3">
        <w:rPr>
          <w:rFonts w:hint="eastAsia"/>
          <w:lang w:eastAsia="zh-CN"/>
        </w:rPr>
        <w:t>C</w:t>
      </w:r>
      <w:r w:rsidRPr="002B04C3">
        <w:rPr>
          <w:rFonts w:hint="eastAsia"/>
          <w:lang w:eastAsia="zh-CN"/>
        </w:rPr>
        <w:t>）；或</w:t>
      </w:r>
    </w:p>
    <w:p w14:paraId="66DC02F3" w14:textId="77777777" w:rsidR="00146C65" w:rsidRPr="002B04C3" w:rsidRDefault="00146C65" w:rsidP="00146C65">
      <w:pPr>
        <w:pStyle w:val="enumlev1"/>
        <w:rPr>
          <w:lang w:eastAsia="zh-CN"/>
        </w:rPr>
      </w:pPr>
      <w:r w:rsidRPr="002B04C3">
        <w:rPr>
          <w:lang w:eastAsia="zh-CN"/>
        </w:rPr>
        <w:t>iii)</w:t>
      </w:r>
      <w:r w:rsidRPr="002B04C3">
        <w:rPr>
          <w:lang w:eastAsia="zh-CN"/>
        </w:rPr>
        <w:tab/>
      </w:r>
      <w:r w:rsidRPr="002B04C3">
        <w:rPr>
          <w:rFonts w:hint="eastAsia"/>
          <w:lang w:eastAsia="zh-CN"/>
        </w:rPr>
        <w:t>由</w:t>
      </w:r>
      <w:r>
        <w:rPr>
          <w:rFonts w:hint="eastAsia"/>
          <w:lang w:eastAsia="zh-CN"/>
        </w:rPr>
        <w:t>研究组和</w:t>
      </w:r>
      <w:r w:rsidRPr="005117F2">
        <w:rPr>
          <w:lang w:eastAsia="zh-CN"/>
        </w:rPr>
        <w:t>/</w:t>
      </w:r>
      <w:r>
        <w:rPr>
          <w:rFonts w:hint="eastAsia"/>
          <w:lang w:eastAsia="zh-CN"/>
        </w:rPr>
        <w:t>或各</w:t>
      </w:r>
      <w:r w:rsidRPr="002B04C3">
        <w:rPr>
          <w:lang w:eastAsia="zh-CN"/>
        </w:rPr>
        <w:t>局主任安排</w:t>
      </w:r>
      <w:r>
        <w:rPr>
          <w:rFonts w:hint="eastAsia"/>
          <w:lang w:eastAsia="zh-CN"/>
        </w:rPr>
        <w:t>联合</w:t>
      </w:r>
      <w:r w:rsidRPr="002B04C3">
        <w:rPr>
          <w:lang w:eastAsia="zh-CN"/>
        </w:rPr>
        <w:t>会议</w:t>
      </w:r>
      <w:r>
        <w:rPr>
          <w:rFonts w:hint="eastAsia"/>
          <w:lang w:eastAsia="zh-CN"/>
        </w:rPr>
        <w:t>；</w:t>
      </w:r>
    </w:p>
    <w:p w14:paraId="216A247B" w14:textId="77777777" w:rsidR="00146C65" w:rsidRPr="002F235F" w:rsidRDefault="00146C65" w:rsidP="00146C65">
      <w:pPr>
        <w:rPr>
          <w:lang w:eastAsia="zh-CN"/>
        </w:rPr>
      </w:pPr>
      <w:r w:rsidRPr="002F235F">
        <w:rPr>
          <w:lang w:eastAsia="zh-CN"/>
        </w:rPr>
        <w:t>3</w:t>
      </w:r>
      <w:r w:rsidRPr="002F235F">
        <w:rPr>
          <w:lang w:eastAsia="zh-CN"/>
        </w:rPr>
        <w:tab/>
      </w:r>
      <w:r>
        <w:rPr>
          <w:rFonts w:hint="eastAsia"/>
          <w:lang w:eastAsia="zh-CN"/>
        </w:rPr>
        <w:t>继续酌情通过广泛使用电子方式远程参会促进发展中国家参加</w:t>
      </w:r>
      <w:r w:rsidRPr="002F235F">
        <w:rPr>
          <w:lang w:eastAsia="zh-CN"/>
        </w:rPr>
        <w:t>ITU</w:t>
      </w:r>
      <w:r w:rsidRPr="002F235F">
        <w:rPr>
          <w:lang w:eastAsia="zh-CN"/>
        </w:rPr>
        <w:noBreakHyphen/>
        <w:t>T</w:t>
      </w:r>
      <w:r>
        <w:rPr>
          <w:rFonts w:hint="eastAsia"/>
          <w:lang w:eastAsia="zh-CN"/>
        </w:rPr>
        <w:t>研究组、工作组和任务组的会议；</w:t>
      </w:r>
    </w:p>
    <w:p w14:paraId="0006545C" w14:textId="77777777" w:rsidR="00146C65" w:rsidRPr="002F235F" w:rsidRDefault="00146C65" w:rsidP="00146C65">
      <w:pPr>
        <w:rPr>
          <w:lang w:eastAsia="zh-CN"/>
        </w:rPr>
      </w:pPr>
      <w:r w:rsidRPr="002F235F">
        <w:rPr>
          <w:lang w:eastAsia="zh-CN"/>
        </w:rPr>
        <w:t>4</w:t>
      </w:r>
      <w:r w:rsidRPr="002F235F">
        <w:rPr>
          <w:lang w:eastAsia="zh-CN"/>
        </w:rPr>
        <w:tab/>
      </w:r>
      <w:r>
        <w:rPr>
          <w:rFonts w:hint="eastAsia"/>
          <w:lang w:eastAsia="zh-CN"/>
        </w:rPr>
        <w:t>与电信发展局（</w:t>
      </w:r>
      <w:r>
        <w:rPr>
          <w:rFonts w:hint="eastAsia"/>
          <w:lang w:eastAsia="zh-CN"/>
        </w:rPr>
        <w:t>BDT</w:t>
      </w:r>
      <w:r>
        <w:rPr>
          <w:rFonts w:hint="eastAsia"/>
          <w:lang w:eastAsia="zh-CN"/>
        </w:rPr>
        <w:t>）主任合作，提高国际电联区域代表处和地区办事处的能力，为研究组活动提供支持以及必要专业技能，以加强与相关区域性组织的合作与协调，促进所有成员国和部门成员参与</w:t>
      </w:r>
      <w:r w:rsidRPr="002F235F">
        <w:rPr>
          <w:lang w:eastAsia="zh-CN"/>
        </w:rPr>
        <w:t>ITU</w:t>
      </w:r>
      <w:r w:rsidRPr="002F235F">
        <w:rPr>
          <w:lang w:eastAsia="zh-CN"/>
        </w:rPr>
        <w:noBreakHyphen/>
        <w:t>T</w:t>
      </w:r>
      <w:r>
        <w:rPr>
          <w:rFonts w:hint="eastAsia"/>
          <w:lang w:eastAsia="zh-CN"/>
        </w:rPr>
        <w:t>的活动；</w:t>
      </w:r>
    </w:p>
    <w:p w14:paraId="0DDF0074" w14:textId="77777777" w:rsidR="00146C65" w:rsidRPr="002F235F" w:rsidRDefault="00146C65" w:rsidP="00146C65">
      <w:pPr>
        <w:rPr>
          <w:lang w:eastAsia="zh-CN"/>
        </w:rPr>
      </w:pPr>
      <w:r w:rsidRPr="002F235F">
        <w:rPr>
          <w:lang w:eastAsia="zh-CN"/>
        </w:rPr>
        <w:t>5</w:t>
      </w:r>
      <w:r w:rsidRPr="002F235F">
        <w:rPr>
          <w:lang w:eastAsia="zh-CN"/>
        </w:rPr>
        <w:tab/>
      </w:r>
      <w:r>
        <w:rPr>
          <w:rFonts w:hint="eastAsia"/>
          <w:lang w:eastAsia="zh-CN"/>
        </w:rPr>
        <w:t>电信标准化局（</w:t>
      </w:r>
      <w:r>
        <w:rPr>
          <w:rFonts w:hint="eastAsia"/>
          <w:lang w:eastAsia="zh-CN"/>
        </w:rPr>
        <w:t>TSB</w:t>
      </w:r>
      <w:r>
        <w:rPr>
          <w:rFonts w:hint="eastAsia"/>
          <w:lang w:eastAsia="zh-CN"/>
        </w:rPr>
        <w:t>）主任须与其它两个局的主任就旨在避免重复工作的手册和报告编制和更新活动以及</w:t>
      </w:r>
      <w:r w:rsidRPr="00595A91">
        <w:rPr>
          <w:rFonts w:hint="eastAsia"/>
          <w:lang w:eastAsia="zh-CN"/>
        </w:rPr>
        <w:t>落实</w:t>
      </w:r>
      <w:r w:rsidRPr="00595A91">
        <w:rPr>
          <w:lang w:eastAsia="zh-CN"/>
        </w:rPr>
        <w:t>ITU-T</w:t>
      </w:r>
      <w:r w:rsidRPr="00595A91">
        <w:rPr>
          <w:rFonts w:hint="eastAsia"/>
          <w:lang w:eastAsia="zh-CN"/>
        </w:rPr>
        <w:t>活动的成果</w:t>
      </w:r>
      <w:r>
        <w:rPr>
          <w:rFonts w:hint="eastAsia"/>
          <w:lang w:eastAsia="zh-CN"/>
        </w:rPr>
        <w:t>开展合作，</w:t>
      </w:r>
    </w:p>
    <w:p w14:paraId="3F210A01" w14:textId="77777777" w:rsidR="00146C65" w:rsidRPr="002B04C3" w:rsidRDefault="00146C65" w:rsidP="00146C65">
      <w:pPr>
        <w:pStyle w:val="Call"/>
        <w:rPr>
          <w:lang w:eastAsia="zh-CN"/>
        </w:rPr>
      </w:pPr>
      <w:r w:rsidRPr="002B04C3">
        <w:rPr>
          <w:rFonts w:hint="eastAsia"/>
          <w:lang w:eastAsia="zh-CN"/>
        </w:rPr>
        <w:t>请</w:t>
      </w:r>
    </w:p>
    <w:p w14:paraId="7189A1C5" w14:textId="77777777" w:rsidR="00146C65" w:rsidRPr="002B04C3" w:rsidRDefault="00146C65" w:rsidP="00146C65">
      <w:pPr>
        <w:pStyle w:val="Normalnoindent"/>
        <w:rPr>
          <w:lang w:eastAsia="zh-CN"/>
        </w:rPr>
      </w:pPr>
      <w:r w:rsidRPr="002B04C3">
        <w:rPr>
          <w:lang w:eastAsia="zh-CN"/>
        </w:rPr>
        <w:t>1</w:t>
      </w:r>
      <w:r w:rsidRPr="002B04C3">
        <w:rPr>
          <w:lang w:eastAsia="zh-CN"/>
        </w:rPr>
        <w:tab/>
        <w:t>TSAG</w:t>
      </w:r>
      <w:r w:rsidRPr="002B04C3">
        <w:rPr>
          <w:rFonts w:hint="eastAsia"/>
          <w:lang w:eastAsia="zh-CN"/>
        </w:rPr>
        <w:t>、</w:t>
      </w:r>
      <w:r>
        <w:rPr>
          <w:rFonts w:hint="eastAsia"/>
          <w:lang w:eastAsia="zh-CN"/>
        </w:rPr>
        <w:t>RAG</w:t>
      </w:r>
      <w:r>
        <w:rPr>
          <w:rFonts w:hint="eastAsia"/>
          <w:lang w:eastAsia="zh-CN"/>
        </w:rPr>
        <w:t>、</w:t>
      </w:r>
      <w:proofErr w:type="gramStart"/>
      <w:r w:rsidRPr="002B04C3">
        <w:rPr>
          <w:rFonts w:hint="eastAsia"/>
          <w:lang w:eastAsia="zh-CN"/>
        </w:rPr>
        <w:t>TDAG</w:t>
      </w:r>
      <w:r w:rsidRPr="002B04C3">
        <w:rPr>
          <w:rFonts w:hint="eastAsia"/>
          <w:lang w:eastAsia="zh-CN"/>
        </w:rPr>
        <w:t>继续帮助</w:t>
      </w:r>
      <w:r w:rsidRPr="002B04C3">
        <w:rPr>
          <w:rFonts w:hint="eastAsia"/>
          <w:lang w:eastAsia="zh-CN"/>
        </w:rPr>
        <w:t>I</w:t>
      </w:r>
      <w:r w:rsidRPr="002B04C3">
        <w:rPr>
          <w:lang w:eastAsia="zh-CN"/>
        </w:rPr>
        <w:t>SCG</w:t>
      </w:r>
      <w:r w:rsidRPr="002B04C3">
        <w:rPr>
          <w:rFonts w:hint="eastAsia"/>
          <w:lang w:eastAsia="zh-CN"/>
        </w:rPr>
        <w:t>确定三个部门共同感兴趣的议题及增强其开展合作与协作的机制；</w:t>
      </w:r>
      <w:proofErr w:type="gramEnd"/>
    </w:p>
    <w:p w14:paraId="480FEF4A" w14:textId="77777777" w:rsidR="00146C65" w:rsidRPr="002B04C3" w:rsidRDefault="00146C65" w:rsidP="00146C65">
      <w:pPr>
        <w:pStyle w:val="Normalnoindent"/>
        <w:rPr>
          <w:lang w:eastAsia="zh-CN"/>
        </w:rPr>
      </w:pPr>
      <w:r w:rsidRPr="002B04C3">
        <w:rPr>
          <w:lang w:eastAsia="zh-CN"/>
        </w:rPr>
        <w:t>2</w:t>
      </w:r>
      <w:r w:rsidRPr="002B04C3">
        <w:rPr>
          <w:lang w:eastAsia="zh-CN"/>
        </w:rPr>
        <w:tab/>
      </w:r>
      <w:r w:rsidRPr="00384170">
        <w:rPr>
          <w:rFonts w:hint="eastAsia"/>
          <w:lang w:eastAsia="zh-CN"/>
        </w:rPr>
        <w:t>无线电通信局、</w:t>
      </w:r>
      <w:r w:rsidRPr="002B04C3">
        <w:rPr>
          <w:rFonts w:hint="eastAsia"/>
          <w:lang w:eastAsia="zh-CN"/>
        </w:rPr>
        <w:t>TSB</w:t>
      </w:r>
      <w:r w:rsidRPr="002B04C3">
        <w:rPr>
          <w:rFonts w:hint="eastAsia"/>
          <w:lang w:eastAsia="zh-CN"/>
        </w:rPr>
        <w:t>和</w:t>
      </w:r>
      <w:r w:rsidRPr="002B04C3">
        <w:rPr>
          <w:rFonts w:hint="eastAsia"/>
          <w:lang w:eastAsia="zh-CN"/>
        </w:rPr>
        <w:t>BDT</w:t>
      </w:r>
      <w:r w:rsidRPr="002B04C3">
        <w:rPr>
          <w:rFonts w:hint="eastAsia"/>
          <w:lang w:eastAsia="zh-CN"/>
        </w:rPr>
        <w:t>主任以及</w:t>
      </w:r>
      <w:r w:rsidRPr="002B04C3">
        <w:rPr>
          <w:rFonts w:hint="eastAsia"/>
          <w:lang w:eastAsia="zh-CN"/>
        </w:rPr>
        <w:t>ISC</w:t>
      </w:r>
      <w:r w:rsidRPr="002B04C3">
        <w:rPr>
          <w:lang w:eastAsia="zh-CN"/>
        </w:rPr>
        <w:noBreakHyphen/>
      </w:r>
      <w:r w:rsidRPr="002B04C3">
        <w:rPr>
          <w:rFonts w:hint="eastAsia"/>
          <w:lang w:eastAsia="zh-CN"/>
        </w:rPr>
        <w:t>TF</w:t>
      </w:r>
      <w:r w:rsidRPr="002B04C3">
        <w:rPr>
          <w:rFonts w:hint="eastAsia"/>
          <w:lang w:eastAsia="zh-CN"/>
        </w:rPr>
        <w:t>针对在秘书处层面加强合作的方案向</w:t>
      </w:r>
      <w:r w:rsidRPr="002B04C3">
        <w:rPr>
          <w:rFonts w:hint="eastAsia"/>
          <w:lang w:eastAsia="zh-CN"/>
        </w:rPr>
        <w:t>I</w:t>
      </w:r>
      <w:r w:rsidRPr="002B04C3">
        <w:rPr>
          <w:lang w:eastAsia="zh-CN"/>
        </w:rPr>
        <w:t>SCG</w:t>
      </w:r>
      <w:r w:rsidRPr="002B04C3">
        <w:rPr>
          <w:rFonts w:hint="eastAsia"/>
          <w:lang w:eastAsia="zh-CN"/>
        </w:rPr>
        <w:t>及各自部门的顾问组报告，确保</w:t>
      </w:r>
      <w:r>
        <w:rPr>
          <w:rFonts w:hint="eastAsia"/>
          <w:lang w:eastAsia="zh-CN"/>
        </w:rPr>
        <w:t>尽最大</w:t>
      </w:r>
      <w:r w:rsidRPr="002B04C3">
        <w:rPr>
          <w:rFonts w:hint="eastAsia"/>
          <w:lang w:eastAsia="zh-CN"/>
        </w:rPr>
        <w:t>努力</w:t>
      </w:r>
      <w:r>
        <w:rPr>
          <w:rFonts w:hint="eastAsia"/>
          <w:lang w:eastAsia="zh-CN"/>
        </w:rPr>
        <w:t>进行</w:t>
      </w:r>
      <w:r w:rsidRPr="002B04C3">
        <w:rPr>
          <w:rFonts w:hint="eastAsia"/>
          <w:lang w:eastAsia="zh-CN"/>
        </w:rPr>
        <w:t>密切协调，</w:t>
      </w:r>
    </w:p>
    <w:p w14:paraId="265BB2F1" w14:textId="77777777" w:rsidR="00146C65" w:rsidRPr="002B04C3" w:rsidRDefault="00146C65" w:rsidP="00146C65">
      <w:pPr>
        <w:pStyle w:val="Call"/>
        <w:rPr>
          <w:lang w:eastAsia="zh-CN"/>
        </w:rPr>
      </w:pPr>
      <w:r w:rsidRPr="002B04C3">
        <w:rPr>
          <w:rFonts w:hint="eastAsia"/>
          <w:lang w:eastAsia="zh-CN"/>
        </w:rPr>
        <w:t>责成</w:t>
      </w:r>
    </w:p>
    <w:p w14:paraId="26EC7EDA" w14:textId="77777777" w:rsidR="00146C65" w:rsidRPr="002B04C3" w:rsidRDefault="00146C65" w:rsidP="00146C65">
      <w:pPr>
        <w:pStyle w:val="Normalnoindent"/>
        <w:rPr>
          <w:lang w:eastAsia="zh-CN"/>
        </w:rPr>
      </w:pPr>
      <w:r w:rsidRPr="002B04C3">
        <w:rPr>
          <w:lang w:eastAsia="zh-CN"/>
        </w:rPr>
        <w:t>1</w:t>
      </w:r>
      <w:r w:rsidRPr="002B04C3">
        <w:rPr>
          <w:lang w:eastAsia="zh-CN"/>
        </w:rPr>
        <w:tab/>
        <w:t>ITU-T</w:t>
      </w:r>
      <w:r w:rsidRPr="002B04C3">
        <w:rPr>
          <w:rFonts w:hint="eastAsia"/>
          <w:lang w:eastAsia="zh-CN"/>
        </w:rPr>
        <w:t>研究组继续与另外两个部门的研究组合作，</w:t>
      </w:r>
      <w:proofErr w:type="gramStart"/>
      <w:r w:rsidRPr="002B04C3">
        <w:rPr>
          <w:rFonts w:hint="eastAsia"/>
          <w:lang w:eastAsia="zh-CN"/>
        </w:rPr>
        <w:t>以避免重复工作并积极利用</w:t>
      </w:r>
      <w:r w:rsidRPr="002B04C3">
        <w:rPr>
          <w:lang w:eastAsia="zh-CN"/>
        </w:rPr>
        <w:t>另</w:t>
      </w:r>
      <w:r w:rsidRPr="002B04C3">
        <w:rPr>
          <w:rFonts w:hint="eastAsia"/>
          <w:lang w:eastAsia="zh-CN"/>
        </w:rPr>
        <w:t>两个部门研究组的成果；</w:t>
      </w:r>
      <w:proofErr w:type="gramEnd"/>
    </w:p>
    <w:p w14:paraId="59CB269E" w14:textId="77777777" w:rsidR="00146C65" w:rsidRPr="002B04C3" w:rsidRDefault="00146C65" w:rsidP="00146C65">
      <w:pPr>
        <w:pStyle w:val="Normalnoindent"/>
        <w:rPr>
          <w:lang w:eastAsia="zh-CN"/>
        </w:rPr>
      </w:pPr>
      <w:r w:rsidRPr="002B04C3">
        <w:rPr>
          <w:lang w:eastAsia="zh-CN"/>
        </w:rPr>
        <w:t>2</w:t>
      </w:r>
      <w:r w:rsidRPr="002B04C3">
        <w:rPr>
          <w:lang w:eastAsia="zh-CN"/>
        </w:rPr>
        <w:tab/>
      </w:r>
      <w:r w:rsidRPr="002B04C3">
        <w:rPr>
          <w:rFonts w:hint="eastAsia"/>
          <w:lang w:eastAsia="zh-CN"/>
        </w:rPr>
        <w:t>TSB</w:t>
      </w:r>
      <w:r w:rsidRPr="002B04C3">
        <w:rPr>
          <w:rFonts w:hint="eastAsia"/>
          <w:lang w:eastAsia="zh-CN"/>
        </w:rPr>
        <w:t>主任每年向</w:t>
      </w:r>
      <w:r w:rsidRPr="002B04C3">
        <w:rPr>
          <w:lang w:eastAsia="zh-CN"/>
        </w:rPr>
        <w:t>TSAG</w:t>
      </w:r>
      <w:r w:rsidRPr="002B04C3">
        <w:rPr>
          <w:rFonts w:hint="eastAsia"/>
          <w:lang w:eastAsia="zh-CN"/>
        </w:rPr>
        <w:t>报告</w:t>
      </w:r>
      <w:r>
        <w:rPr>
          <w:rFonts w:hint="eastAsia"/>
          <w:lang w:eastAsia="zh-CN"/>
        </w:rPr>
        <w:t>本</w:t>
      </w:r>
      <w:r w:rsidRPr="002B04C3">
        <w:rPr>
          <w:rFonts w:hint="eastAsia"/>
          <w:lang w:eastAsia="zh-CN"/>
        </w:rPr>
        <w:t>决议的落实</w:t>
      </w:r>
      <w:r>
        <w:rPr>
          <w:rFonts w:hint="eastAsia"/>
          <w:lang w:eastAsia="zh-CN"/>
        </w:rPr>
        <w:t>情况，</w:t>
      </w:r>
    </w:p>
    <w:p w14:paraId="619568CB" w14:textId="77777777" w:rsidR="00146C65" w:rsidRPr="00E84CEB" w:rsidRDefault="00146C65" w:rsidP="00146C65">
      <w:pPr>
        <w:pStyle w:val="Call"/>
        <w:rPr>
          <w:lang w:eastAsia="zh-CN"/>
        </w:rPr>
      </w:pPr>
      <w:r>
        <w:rPr>
          <w:rFonts w:hint="eastAsia"/>
          <w:lang w:eastAsia="zh-CN"/>
        </w:rPr>
        <w:t>责成国际电</w:t>
      </w:r>
      <w:proofErr w:type="gramStart"/>
      <w:r>
        <w:rPr>
          <w:rFonts w:hint="eastAsia"/>
          <w:lang w:eastAsia="zh-CN"/>
        </w:rPr>
        <w:t>联电信</w:t>
      </w:r>
      <w:proofErr w:type="gramEnd"/>
      <w:r>
        <w:rPr>
          <w:rFonts w:hint="eastAsia"/>
          <w:lang w:eastAsia="zh-CN"/>
        </w:rPr>
        <w:t>标准化部门研究组和电信标准化局主任</w:t>
      </w:r>
    </w:p>
    <w:p w14:paraId="3BE21514" w14:textId="77777777" w:rsidR="00146C65" w:rsidRPr="002F235F" w:rsidRDefault="00146C65" w:rsidP="00146C65">
      <w:pPr>
        <w:ind w:firstLineChars="200" w:firstLine="480"/>
        <w:rPr>
          <w:lang w:eastAsia="zh-CN"/>
        </w:rPr>
      </w:pPr>
      <w:r>
        <w:rPr>
          <w:rFonts w:hint="eastAsia"/>
          <w:lang w:eastAsia="zh-CN"/>
        </w:rPr>
        <w:t>采取一切适当行动落实本决议，</w:t>
      </w:r>
    </w:p>
    <w:p w14:paraId="6B4F783B" w14:textId="77777777" w:rsidR="00146C65" w:rsidRDefault="00146C65" w:rsidP="00146C65">
      <w:pPr>
        <w:rPr>
          <w:lang w:eastAsia="zh-CN"/>
        </w:rPr>
      </w:pPr>
      <w:r>
        <w:rPr>
          <w:lang w:eastAsia="zh-CN"/>
        </w:rPr>
        <w:br w:type="page"/>
      </w:r>
    </w:p>
    <w:p w14:paraId="62C452B6" w14:textId="77777777" w:rsidR="00146C65" w:rsidRPr="002B04C3" w:rsidRDefault="00146C65" w:rsidP="00146C65">
      <w:pPr>
        <w:pStyle w:val="Call"/>
        <w:rPr>
          <w:lang w:eastAsia="zh-CN"/>
        </w:rPr>
      </w:pPr>
      <w:r w:rsidRPr="002B04C3">
        <w:rPr>
          <w:lang w:eastAsia="zh-CN"/>
        </w:rPr>
        <w:lastRenderedPageBreak/>
        <w:t>请成员国和部门成员</w:t>
      </w:r>
    </w:p>
    <w:p w14:paraId="20A603E2" w14:textId="77777777" w:rsidR="00146C65" w:rsidRPr="002B04C3" w:rsidRDefault="00146C65" w:rsidP="00146C65">
      <w:pPr>
        <w:rPr>
          <w:lang w:eastAsia="zh-CN"/>
        </w:rPr>
      </w:pPr>
      <w:r>
        <w:rPr>
          <w:rFonts w:hint="eastAsia"/>
          <w:lang w:eastAsia="zh-CN"/>
        </w:rPr>
        <w:t>1</w:t>
      </w:r>
      <w:r>
        <w:rPr>
          <w:lang w:eastAsia="zh-CN"/>
        </w:rPr>
        <w:tab/>
      </w:r>
      <w:r w:rsidRPr="002B04C3">
        <w:rPr>
          <w:rFonts w:hint="eastAsia"/>
          <w:lang w:eastAsia="zh-CN"/>
        </w:rPr>
        <w:t>支持为改进跨部门协调而做出的努力，包括积极参加各部门顾问组成立的协调活动小组</w:t>
      </w:r>
      <w:r>
        <w:rPr>
          <w:rFonts w:hint="eastAsia"/>
          <w:lang w:eastAsia="zh-CN"/>
        </w:rPr>
        <w:t>；</w:t>
      </w:r>
    </w:p>
    <w:p w14:paraId="1BEFC0EE" w14:textId="77777777" w:rsidR="00146C65" w:rsidRDefault="00146C65" w:rsidP="00146C65">
      <w:pPr>
        <w:rPr>
          <w:lang w:eastAsia="zh-CN"/>
        </w:rPr>
      </w:pPr>
      <w:r w:rsidRPr="002F235F">
        <w:rPr>
          <w:lang w:eastAsia="zh-CN"/>
        </w:rPr>
        <w:t>2</w:t>
      </w:r>
      <w:r w:rsidRPr="002F235F">
        <w:rPr>
          <w:lang w:eastAsia="zh-CN"/>
        </w:rPr>
        <w:tab/>
      </w:r>
      <w:r w:rsidRPr="00E51AC5">
        <w:rPr>
          <w:rFonts w:hint="eastAsia"/>
          <w:lang w:eastAsia="zh-CN"/>
        </w:rPr>
        <w:t>积极</w:t>
      </w:r>
      <w:r>
        <w:rPr>
          <w:rFonts w:hint="eastAsia"/>
          <w:lang w:eastAsia="zh-CN"/>
        </w:rPr>
        <w:t>通过以下方式</w:t>
      </w:r>
      <w:r w:rsidRPr="00E51AC5">
        <w:rPr>
          <w:rFonts w:hint="eastAsia"/>
          <w:lang w:eastAsia="zh-CN"/>
        </w:rPr>
        <w:t>参与本决议的</w:t>
      </w:r>
      <w:r>
        <w:rPr>
          <w:rFonts w:hint="eastAsia"/>
          <w:lang w:eastAsia="zh-CN"/>
        </w:rPr>
        <w:t>落实：特别是</w:t>
      </w:r>
      <w:r w:rsidRPr="00E51AC5">
        <w:rPr>
          <w:rFonts w:hint="eastAsia"/>
          <w:lang w:eastAsia="zh-CN"/>
        </w:rPr>
        <w:t>提供专家协助发展中国家，为</w:t>
      </w:r>
      <w:r>
        <w:rPr>
          <w:rFonts w:hint="eastAsia"/>
          <w:lang w:eastAsia="zh-CN"/>
        </w:rPr>
        <w:t>情况通报</w:t>
      </w:r>
      <w:r w:rsidRPr="00E51AC5">
        <w:rPr>
          <w:rFonts w:hint="eastAsia"/>
          <w:lang w:eastAsia="zh-CN"/>
        </w:rPr>
        <w:t>会、研讨会和讲习班</w:t>
      </w:r>
      <w:r>
        <w:rPr>
          <w:rFonts w:hint="eastAsia"/>
          <w:lang w:eastAsia="zh-CN"/>
        </w:rPr>
        <w:t>提交文稿</w:t>
      </w:r>
      <w:r w:rsidRPr="00E51AC5">
        <w:rPr>
          <w:rFonts w:hint="eastAsia"/>
          <w:lang w:eastAsia="zh-CN"/>
        </w:rPr>
        <w:t>，</w:t>
      </w:r>
      <w:r>
        <w:rPr>
          <w:rFonts w:hint="eastAsia"/>
          <w:lang w:eastAsia="zh-CN"/>
        </w:rPr>
        <w:t>在</w:t>
      </w:r>
      <w:r w:rsidRPr="002F235F">
        <w:rPr>
          <w:lang w:eastAsia="zh-CN"/>
        </w:rPr>
        <w:t>ITU</w:t>
      </w:r>
      <w:r>
        <w:rPr>
          <w:lang w:eastAsia="zh-CN"/>
        </w:rPr>
        <w:noBreakHyphen/>
      </w:r>
      <w:r w:rsidRPr="002F235F">
        <w:rPr>
          <w:lang w:eastAsia="zh-CN"/>
        </w:rPr>
        <w:t>D</w:t>
      </w:r>
      <w:r w:rsidRPr="00E51AC5">
        <w:rPr>
          <w:rFonts w:hint="eastAsia"/>
          <w:lang w:eastAsia="zh-CN"/>
        </w:rPr>
        <w:t>研究组审议</w:t>
      </w:r>
      <w:r>
        <w:rPr>
          <w:rFonts w:hint="eastAsia"/>
          <w:lang w:eastAsia="zh-CN"/>
        </w:rPr>
        <w:t>的事项上</w:t>
      </w:r>
      <w:r w:rsidRPr="00E51AC5">
        <w:rPr>
          <w:rFonts w:hint="eastAsia"/>
          <w:lang w:eastAsia="zh-CN"/>
        </w:rPr>
        <w:t>提供必要的</w:t>
      </w:r>
      <w:r>
        <w:rPr>
          <w:rFonts w:hint="eastAsia"/>
          <w:lang w:eastAsia="zh-CN"/>
        </w:rPr>
        <w:t>专业技能</w:t>
      </w:r>
      <w:r w:rsidRPr="00E51AC5">
        <w:rPr>
          <w:rFonts w:hint="eastAsia"/>
          <w:lang w:eastAsia="zh-CN"/>
        </w:rPr>
        <w:t>，以及</w:t>
      </w:r>
      <w:r>
        <w:rPr>
          <w:rFonts w:hint="eastAsia"/>
          <w:lang w:eastAsia="zh-CN"/>
        </w:rPr>
        <w:t>接纳</w:t>
      </w:r>
      <w:r w:rsidRPr="00E51AC5">
        <w:rPr>
          <w:rFonts w:hint="eastAsia"/>
          <w:lang w:eastAsia="zh-CN"/>
        </w:rPr>
        <w:t>来自发展中国家的</w:t>
      </w:r>
      <w:r>
        <w:rPr>
          <w:rFonts w:hint="eastAsia"/>
          <w:lang w:eastAsia="zh-CN"/>
        </w:rPr>
        <w:t>被培训</w:t>
      </w:r>
      <w:r w:rsidRPr="00E51AC5">
        <w:rPr>
          <w:rFonts w:hint="eastAsia"/>
          <w:lang w:eastAsia="zh-CN"/>
        </w:rPr>
        <w:t>人员</w:t>
      </w:r>
      <w:r>
        <w:rPr>
          <w:rFonts w:hint="eastAsia"/>
          <w:lang w:eastAsia="zh-CN"/>
        </w:rPr>
        <w:t>。</w:t>
      </w:r>
    </w:p>
    <w:p w14:paraId="57C93D68" w14:textId="77777777" w:rsidR="00146C65" w:rsidRPr="00BD3D12" w:rsidRDefault="00146C65" w:rsidP="001D0C8D">
      <w:pPr>
        <w:pStyle w:val="AnnexNo"/>
        <w:outlineLvl w:val="0"/>
        <w:rPr>
          <w:lang w:val="fr-FR" w:eastAsia="zh-CN"/>
        </w:rPr>
      </w:pPr>
      <w:bookmarkStart w:id="3" w:name="_Toc114651296"/>
      <w:r w:rsidRPr="00BD3D12">
        <w:rPr>
          <w:lang w:val="fr-FR" w:eastAsia="zh-CN"/>
        </w:rPr>
        <w:t>（</w:t>
      </w:r>
      <w:r w:rsidRPr="002B04C3">
        <w:rPr>
          <w:lang w:eastAsia="zh-CN"/>
        </w:rPr>
        <w:t>第</w:t>
      </w:r>
      <w:r w:rsidRPr="00BD3D12">
        <w:rPr>
          <w:lang w:val="fr-FR" w:eastAsia="zh-CN"/>
        </w:rPr>
        <w:t>18</w:t>
      </w:r>
      <w:r w:rsidRPr="002B04C3">
        <w:rPr>
          <w:lang w:eastAsia="zh-CN"/>
        </w:rPr>
        <w:t>号决议</w:t>
      </w:r>
      <w:r w:rsidRPr="00BD3D12">
        <w:rPr>
          <w:rFonts w:hint="eastAsia"/>
          <w:lang w:val="fr-FR" w:eastAsia="zh-CN"/>
        </w:rPr>
        <w:t>（</w:t>
      </w:r>
      <w:r>
        <w:rPr>
          <w:rFonts w:hint="eastAsia"/>
          <w:lang w:eastAsia="zh-CN"/>
        </w:rPr>
        <w:t>2024</w:t>
      </w:r>
      <w:r>
        <w:rPr>
          <w:rFonts w:hint="eastAsia"/>
          <w:lang w:eastAsia="zh-CN"/>
        </w:rPr>
        <w:t>年，新德里</w:t>
      </w:r>
      <w:r w:rsidRPr="00BD3D12">
        <w:rPr>
          <w:lang w:val="fr-FR" w:eastAsia="zh-CN"/>
        </w:rPr>
        <w:t>，</w:t>
      </w:r>
      <w:r w:rsidRPr="002B04C3">
        <w:rPr>
          <w:lang w:eastAsia="zh-CN"/>
        </w:rPr>
        <w:t>修订版</w:t>
      </w:r>
      <w:r w:rsidRPr="00BD3D12">
        <w:rPr>
          <w:lang w:val="fr-FR" w:eastAsia="zh-CN"/>
        </w:rPr>
        <w:t>））</w:t>
      </w:r>
      <w:r w:rsidRPr="00BD3D12">
        <w:rPr>
          <w:lang w:val="fr-FR" w:eastAsia="zh-CN"/>
        </w:rPr>
        <w:br/>
      </w:r>
      <w:r w:rsidRPr="002B04C3">
        <w:rPr>
          <w:rFonts w:hint="eastAsia"/>
          <w:lang w:eastAsia="zh-CN"/>
        </w:rPr>
        <w:t>附件</w:t>
      </w:r>
      <w:r w:rsidRPr="00BD3D12">
        <w:rPr>
          <w:lang w:val="fr-FR" w:eastAsia="zh-CN"/>
        </w:rPr>
        <w:t>A</w:t>
      </w:r>
      <w:bookmarkEnd w:id="3"/>
    </w:p>
    <w:p w14:paraId="5E459B8A" w14:textId="77777777" w:rsidR="00146C65" w:rsidRPr="00BD3D12" w:rsidRDefault="00146C65" w:rsidP="001D0C8D">
      <w:pPr>
        <w:pStyle w:val="Annextitle"/>
        <w:outlineLvl w:val="0"/>
        <w:rPr>
          <w:lang w:val="fr-FR" w:eastAsia="zh-CN"/>
        </w:rPr>
      </w:pPr>
      <w:r w:rsidRPr="002B04C3">
        <w:rPr>
          <w:rFonts w:hint="eastAsia"/>
          <w:lang w:eastAsia="zh-CN"/>
        </w:rPr>
        <w:t>合作的程序方法</w:t>
      </w:r>
    </w:p>
    <w:p w14:paraId="2F6CF864" w14:textId="77777777" w:rsidR="00146C65" w:rsidRPr="002B04C3" w:rsidRDefault="00146C65" w:rsidP="00146C65">
      <w:pPr>
        <w:pStyle w:val="Normalaftertitle0"/>
        <w:ind w:firstLineChars="200" w:firstLine="480"/>
        <w:rPr>
          <w:lang w:eastAsia="zh-CN"/>
        </w:rPr>
      </w:pPr>
      <w:r w:rsidRPr="002B04C3">
        <w:rPr>
          <w:rFonts w:hint="eastAsia"/>
          <w:lang w:eastAsia="zh-CN"/>
        </w:rPr>
        <w:t>关于</w:t>
      </w:r>
      <w:bookmarkStart w:id="4" w:name="_Hlk181799441"/>
      <w:r>
        <w:rPr>
          <w:rFonts w:hint="eastAsia"/>
          <w:lang w:eastAsia="zh-CN"/>
        </w:rPr>
        <w:t>世界电信标准化全会第</w:t>
      </w:r>
      <w:r>
        <w:rPr>
          <w:rFonts w:hint="eastAsia"/>
          <w:lang w:eastAsia="zh-CN"/>
        </w:rPr>
        <w:t>1</w:t>
      </w:r>
      <w:r>
        <w:rPr>
          <w:lang w:eastAsia="zh-CN"/>
        </w:rPr>
        <w:t>8</w:t>
      </w:r>
      <w:r>
        <w:rPr>
          <w:rFonts w:hint="eastAsia"/>
          <w:lang w:eastAsia="zh-CN"/>
        </w:rPr>
        <w:t>号决议</w:t>
      </w:r>
      <w:bookmarkEnd w:id="4"/>
      <w:r>
        <w:rPr>
          <w:rFonts w:hint="eastAsia"/>
          <w:lang w:eastAsia="zh-CN"/>
        </w:rPr>
        <w:t>（</w:t>
      </w:r>
      <w:r>
        <w:rPr>
          <w:rFonts w:hint="eastAsia"/>
          <w:lang w:eastAsia="zh-CN"/>
        </w:rPr>
        <w:t>2</w:t>
      </w:r>
      <w:r>
        <w:rPr>
          <w:lang w:eastAsia="zh-CN"/>
        </w:rPr>
        <w:t>024</w:t>
      </w:r>
      <w:r>
        <w:rPr>
          <w:rFonts w:hint="eastAsia"/>
          <w:lang w:eastAsia="zh-CN"/>
        </w:rPr>
        <w:t>年，新德里，修订版）</w:t>
      </w:r>
      <w:r w:rsidRPr="002B04C3">
        <w:rPr>
          <w:rFonts w:ascii="STKaiti" w:eastAsia="STKaiti" w:hAnsi="STKaiti"/>
          <w:lang w:eastAsia="zh-CN"/>
        </w:rPr>
        <w:t>做出决议</w:t>
      </w:r>
      <w:r w:rsidRPr="002B04C3">
        <w:rPr>
          <w:rFonts w:asciiTheme="majorBidi" w:eastAsia="STKaiti" w:hAnsiTheme="majorBidi" w:cstheme="majorBidi"/>
          <w:lang w:eastAsia="zh-CN"/>
        </w:rPr>
        <w:t xml:space="preserve">2 </w:t>
      </w:r>
      <w:proofErr w:type="spellStart"/>
      <w:r w:rsidRPr="002B04C3">
        <w:rPr>
          <w:lang w:eastAsia="zh-CN"/>
        </w:rPr>
        <w:t>i</w:t>
      </w:r>
      <w:proofErr w:type="spellEnd"/>
      <w:r w:rsidRPr="002B04C3">
        <w:rPr>
          <w:lang w:eastAsia="zh-CN"/>
        </w:rPr>
        <w:t>)</w:t>
      </w:r>
      <w:r w:rsidRPr="002B04C3">
        <w:rPr>
          <w:rFonts w:hint="eastAsia"/>
          <w:lang w:eastAsia="zh-CN"/>
        </w:rPr>
        <w:t>，须采用以下程序：</w:t>
      </w:r>
    </w:p>
    <w:p w14:paraId="0281E674" w14:textId="77777777" w:rsidR="00146C65" w:rsidRPr="002B04C3" w:rsidRDefault="00146C65" w:rsidP="00146C65">
      <w:pPr>
        <w:pStyle w:val="enumlev1"/>
        <w:rPr>
          <w:lang w:eastAsia="zh-CN"/>
        </w:rPr>
      </w:pPr>
      <w:r w:rsidRPr="002B04C3">
        <w:rPr>
          <w:lang w:eastAsia="zh-CN"/>
        </w:rPr>
        <w:t>a)</w:t>
      </w:r>
      <w:r w:rsidRPr="002B04C3">
        <w:rPr>
          <w:rFonts w:hint="eastAsia"/>
          <w:lang w:eastAsia="zh-CN"/>
        </w:rPr>
        <w:tab/>
      </w:r>
      <w:r>
        <w:rPr>
          <w:rFonts w:hint="eastAsia"/>
          <w:lang w:eastAsia="zh-CN"/>
        </w:rPr>
        <w:t>第</w:t>
      </w:r>
      <w:r>
        <w:rPr>
          <w:rFonts w:hint="eastAsia"/>
          <w:lang w:eastAsia="zh-CN"/>
        </w:rPr>
        <w:t>1</w:t>
      </w:r>
      <w:r>
        <w:rPr>
          <w:lang w:eastAsia="zh-CN"/>
        </w:rPr>
        <w:t>8</w:t>
      </w:r>
      <w:r>
        <w:rPr>
          <w:rFonts w:hint="eastAsia"/>
          <w:lang w:eastAsia="zh-CN"/>
        </w:rPr>
        <w:t>号决议</w:t>
      </w:r>
      <w:bookmarkStart w:id="5" w:name="_Hlk181799492"/>
      <w:r>
        <w:rPr>
          <w:rFonts w:hint="eastAsia"/>
          <w:lang w:eastAsia="zh-CN"/>
        </w:rPr>
        <w:t>（</w:t>
      </w:r>
      <w:r>
        <w:rPr>
          <w:rFonts w:hint="eastAsia"/>
          <w:lang w:eastAsia="zh-CN"/>
        </w:rPr>
        <w:t>2</w:t>
      </w:r>
      <w:r>
        <w:rPr>
          <w:lang w:eastAsia="zh-CN"/>
        </w:rPr>
        <w:t>024</w:t>
      </w:r>
      <w:r>
        <w:rPr>
          <w:rFonts w:hint="eastAsia"/>
          <w:lang w:eastAsia="zh-CN"/>
        </w:rPr>
        <w:t>年，新德里，修订版）</w:t>
      </w:r>
      <w:bookmarkEnd w:id="5"/>
      <w:r w:rsidRPr="002B04C3">
        <w:rPr>
          <w:rFonts w:ascii="STKaiti" w:eastAsia="STKaiti" w:hAnsi="STKaiti"/>
          <w:lang w:eastAsia="zh-CN"/>
        </w:rPr>
        <w:t>做出决议</w:t>
      </w:r>
      <w:r w:rsidRPr="002B04C3">
        <w:rPr>
          <w:rFonts w:asciiTheme="majorBidi" w:eastAsia="STKaiti" w:hAnsiTheme="majorBidi" w:cstheme="majorBidi"/>
          <w:lang w:eastAsia="zh-CN"/>
        </w:rPr>
        <w:t>1</w:t>
      </w:r>
      <w:r w:rsidRPr="002B04C3">
        <w:rPr>
          <w:rFonts w:hint="eastAsia"/>
          <w:lang w:eastAsia="zh-CN"/>
        </w:rPr>
        <w:t>提及的顾问</w:t>
      </w:r>
      <w:r w:rsidRPr="002B04C3">
        <w:rPr>
          <w:lang w:eastAsia="zh-CN"/>
        </w:rPr>
        <w:t>组</w:t>
      </w:r>
      <w:r>
        <w:rPr>
          <w:rFonts w:hint="eastAsia"/>
          <w:lang w:eastAsia="zh-CN"/>
        </w:rPr>
        <w:t>联合</w:t>
      </w:r>
      <w:r w:rsidRPr="002B04C3">
        <w:rPr>
          <w:rFonts w:hint="eastAsia"/>
          <w:lang w:eastAsia="zh-CN"/>
        </w:rPr>
        <w:t>会议将指定牵头并最终批准可交付成果的部门。</w:t>
      </w:r>
    </w:p>
    <w:p w14:paraId="4C72A69D" w14:textId="77777777" w:rsidR="00146C65" w:rsidRPr="002B04C3" w:rsidRDefault="00146C65" w:rsidP="00146C65">
      <w:pPr>
        <w:pStyle w:val="enumlev1"/>
        <w:rPr>
          <w:lang w:eastAsia="zh-CN"/>
        </w:rPr>
      </w:pPr>
      <w:r w:rsidRPr="002B04C3">
        <w:rPr>
          <w:lang w:eastAsia="zh-CN"/>
        </w:rPr>
        <w:t>b)</w:t>
      </w:r>
      <w:r w:rsidRPr="002B04C3">
        <w:rPr>
          <w:rFonts w:hint="eastAsia"/>
          <w:lang w:eastAsia="zh-CN"/>
        </w:rPr>
        <w:tab/>
      </w:r>
      <w:r w:rsidRPr="002B04C3">
        <w:rPr>
          <w:rFonts w:hint="eastAsia"/>
          <w:lang w:eastAsia="zh-CN"/>
        </w:rPr>
        <w:t>牵头部门将请另一部门说明它认为有必要纳入可交付成果的要求。</w:t>
      </w:r>
    </w:p>
    <w:p w14:paraId="656EB0E6" w14:textId="77777777" w:rsidR="00146C65" w:rsidRPr="002B04C3" w:rsidRDefault="00146C65" w:rsidP="00146C65">
      <w:pPr>
        <w:pStyle w:val="enumlev1"/>
        <w:rPr>
          <w:lang w:eastAsia="zh-CN"/>
        </w:rPr>
      </w:pPr>
      <w:r w:rsidRPr="002B04C3">
        <w:rPr>
          <w:lang w:eastAsia="zh-CN"/>
        </w:rPr>
        <w:t>c)</w:t>
      </w:r>
      <w:r w:rsidRPr="002B04C3">
        <w:rPr>
          <w:rFonts w:hint="eastAsia"/>
          <w:lang w:eastAsia="zh-CN"/>
        </w:rPr>
        <w:tab/>
      </w:r>
      <w:r w:rsidRPr="002B04C3">
        <w:rPr>
          <w:rFonts w:hint="eastAsia"/>
          <w:lang w:eastAsia="zh-CN"/>
        </w:rPr>
        <w:t>牵头部门将按照这些基本要求开展工作，并将这些要求纳入可交付成果草案。</w:t>
      </w:r>
    </w:p>
    <w:p w14:paraId="62854C8E" w14:textId="77777777" w:rsidR="00146C65" w:rsidRPr="002B04C3" w:rsidRDefault="00146C65" w:rsidP="00146C65">
      <w:pPr>
        <w:pStyle w:val="enumlev1"/>
        <w:rPr>
          <w:lang w:eastAsia="zh-CN"/>
        </w:rPr>
      </w:pPr>
      <w:r w:rsidRPr="002B04C3">
        <w:rPr>
          <w:lang w:eastAsia="zh-CN"/>
        </w:rPr>
        <w:t>d)</w:t>
      </w:r>
      <w:r w:rsidRPr="002B04C3">
        <w:rPr>
          <w:rFonts w:hint="eastAsia"/>
          <w:lang w:eastAsia="zh-CN"/>
        </w:rPr>
        <w:tab/>
      </w:r>
      <w:r w:rsidRPr="002B04C3">
        <w:rPr>
          <w:rFonts w:hint="eastAsia"/>
          <w:lang w:eastAsia="zh-CN"/>
        </w:rPr>
        <w:t>在制定所需可交付成果的过程中，牵头部门如对基本要求产生异议，须与另一部门磋商。如果双方对修订后的基本要求达成一致，修订后的要求须作为未来工作的基础。</w:t>
      </w:r>
    </w:p>
    <w:p w14:paraId="2ED6DE18" w14:textId="77777777" w:rsidR="00146C65" w:rsidRPr="002B04C3" w:rsidRDefault="00146C65" w:rsidP="00146C65">
      <w:pPr>
        <w:pStyle w:val="enumlev1"/>
        <w:rPr>
          <w:lang w:eastAsia="zh-CN"/>
        </w:rPr>
      </w:pPr>
      <w:r w:rsidRPr="002B04C3">
        <w:rPr>
          <w:lang w:eastAsia="zh-CN"/>
        </w:rPr>
        <w:t>e)</w:t>
      </w:r>
      <w:r w:rsidRPr="002B04C3">
        <w:rPr>
          <w:rFonts w:hint="eastAsia"/>
          <w:lang w:eastAsia="zh-CN"/>
        </w:rPr>
        <w:tab/>
      </w:r>
      <w:r w:rsidRPr="002B04C3">
        <w:rPr>
          <w:rFonts w:hint="eastAsia"/>
          <w:lang w:eastAsia="zh-CN"/>
        </w:rPr>
        <w:t>当可交付成果成熟时，牵头部门须再次征求另两个部门的意见。</w:t>
      </w:r>
    </w:p>
    <w:p w14:paraId="041317E3" w14:textId="77777777" w:rsidR="00146C65" w:rsidRDefault="00146C65" w:rsidP="00146C65">
      <w:pPr>
        <w:ind w:firstLineChars="200" w:firstLine="480"/>
        <w:rPr>
          <w:lang w:eastAsia="zh-CN"/>
        </w:rPr>
      </w:pPr>
      <w:r w:rsidRPr="002B04C3">
        <w:rPr>
          <w:rFonts w:hint="eastAsia"/>
          <w:lang w:eastAsia="zh-CN"/>
        </w:rPr>
        <w:t>在确定</w:t>
      </w:r>
      <w:r w:rsidRPr="002B04C3">
        <w:rPr>
          <w:lang w:eastAsia="zh-CN"/>
        </w:rPr>
        <w:t>工作职责时，</w:t>
      </w:r>
      <w:r w:rsidRPr="002B04C3">
        <w:rPr>
          <w:rFonts w:hint="eastAsia"/>
          <w:lang w:eastAsia="zh-CN"/>
        </w:rPr>
        <w:t>宜</w:t>
      </w:r>
      <w:r w:rsidRPr="002B04C3">
        <w:rPr>
          <w:lang w:eastAsia="zh-CN"/>
        </w:rPr>
        <w:t>充分结合利用所涉部门人员的技能来推进工作。</w:t>
      </w:r>
    </w:p>
    <w:p w14:paraId="7A358023" w14:textId="77777777" w:rsidR="001D0C8D" w:rsidRDefault="001D0C8D" w:rsidP="00146C65">
      <w:pPr>
        <w:ind w:firstLineChars="200" w:firstLine="480"/>
        <w:rPr>
          <w:lang w:eastAsia="zh-CN"/>
        </w:rPr>
      </w:pPr>
    </w:p>
    <w:p w14:paraId="39EB199D" w14:textId="77777777" w:rsidR="001D0C8D" w:rsidRDefault="001D0C8D" w:rsidP="00146C65">
      <w:pPr>
        <w:ind w:firstLineChars="200" w:firstLine="480"/>
        <w:rPr>
          <w:lang w:eastAsia="zh-CN"/>
        </w:rPr>
      </w:pPr>
    </w:p>
    <w:p w14:paraId="6869C677" w14:textId="77777777" w:rsidR="001D0C8D" w:rsidRDefault="001D0C8D" w:rsidP="00146C65">
      <w:pPr>
        <w:ind w:firstLineChars="200" w:firstLine="480"/>
        <w:rPr>
          <w:lang w:eastAsia="zh-CN"/>
        </w:rPr>
      </w:pPr>
    </w:p>
    <w:p w14:paraId="6CAE6A00" w14:textId="77777777" w:rsidR="001D0C8D" w:rsidRDefault="001D0C8D" w:rsidP="00146C65">
      <w:pPr>
        <w:ind w:firstLineChars="200" w:firstLine="480"/>
        <w:rPr>
          <w:lang w:eastAsia="zh-CN"/>
        </w:rPr>
      </w:pPr>
    </w:p>
    <w:p w14:paraId="0F9E966D" w14:textId="77777777" w:rsidR="001D0C8D" w:rsidRDefault="001D0C8D" w:rsidP="00146C65">
      <w:pPr>
        <w:ind w:firstLineChars="200" w:firstLine="480"/>
        <w:rPr>
          <w:lang w:eastAsia="zh-CN"/>
        </w:rPr>
      </w:pPr>
    </w:p>
    <w:p w14:paraId="2DA7CC0E" w14:textId="39712DF7" w:rsidR="001D0C8D" w:rsidRDefault="001D0C8D" w:rsidP="00146C65">
      <w:pPr>
        <w:ind w:firstLineChars="200" w:firstLine="480"/>
        <w:rPr>
          <w:lang w:eastAsia="zh-CN"/>
        </w:rPr>
      </w:pPr>
      <w:r>
        <w:rPr>
          <w:lang w:eastAsia="zh-CN"/>
        </w:rPr>
        <w:br w:type="page"/>
      </w:r>
    </w:p>
    <w:p w14:paraId="6B8818C8" w14:textId="77777777" w:rsidR="00146C65" w:rsidRPr="00BD3D12" w:rsidRDefault="00146C65" w:rsidP="001D0C8D">
      <w:pPr>
        <w:pStyle w:val="AnnexNo"/>
        <w:outlineLvl w:val="0"/>
        <w:rPr>
          <w:lang w:val="fr-FR" w:eastAsia="zh-CN"/>
        </w:rPr>
      </w:pPr>
      <w:bookmarkStart w:id="6" w:name="_Toc114651297"/>
      <w:r w:rsidRPr="00BD3D12">
        <w:rPr>
          <w:lang w:val="fr-FR" w:eastAsia="zh-CN"/>
        </w:rPr>
        <w:lastRenderedPageBreak/>
        <w:t>（</w:t>
      </w:r>
      <w:r w:rsidRPr="002B04C3">
        <w:rPr>
          <w:lang w:eastAsia="zh-CN"/>
        </w:rPr>
        <w:t>第</w:t>
      </w:r>
      <w:r w:rsidRPr="00BD3D12">
        <w:rPr>
          <w:lang w:val="fr-FR" w:eastAsia="zh-CN"/>
        </w:rPr>
        <w:t>18</w:t>
      </w:r>
      <w:r w:rsidRPr="002B04C3">
        <w:rPr>
          <w:lang w:eastAsia="zh-CN"/>
        </w:rPr>
        <w:t>号决议</w:t>
      </w:r>
      <w:r w:rsidRPr="00BD3D12">
        <w:rPr>
          <w:rFonts w:hint="eastAsia"/>
          <w:lang w:val="fr-FR" w:eastAsia="zh-CN"/>
        </w:rPr>
        <w:t>（</w:t>
      </w:r>
      <w:r>
        <w:rPr>
          <w:rFonts w:hint="eastAsia"/>
          <w:lang w:eastAsia="zh-CN"/>
        </w:rPr>
        <w:t>2024</w:t>
      </w:r>
      <w:r>
        <w:rPr>
          <w:rFonts w:hint="eastAsia"/>
          <w:lang w:eastAsia="zh-CN"/>
        </w:rPr>
        <w:t>年，新德里</w:t>
      </w:r>
      <w:r w:rsidRPr="00BD3D12">
        <w:rPr>
          <w:lang w:val="fr-FR" w:eastAsia="zh-CN"/>
        </w:rPr>
        <w:t>，</w:t>
      </w:r>
      <w:r w:rsidRPr="002B04C3">
        <w:rPr>
          <w:lang w:eastAsia="zh-CN"/>
        </w:rPr>
        <w:t>修订版</w:t>
      </w:r>
      <w:r w:rsidRPr="00BD3D12">
        <w:rPr>
          <w:lang w:val="fr-FR" w:eastAsia="zh-CN"/>
        </w:rPr>
        <w:t>））</w:t>
      </w:r>
      <w:r w:rsidRPr="00BD3D12">
        <w:rPr>
          <w:rFonts w:hint="eastAsia"/>
          <w:lang w:val="fr-FR" w:eastAsia="zh-CN"/>
        </w:rPr>
        <w:br/>
      </w:r>
      <w:r w:rsidRPr="002B04C3">
        <w:rPr>
          <w:rFonts w:hint="eastAsia"/>
          <w:lang w:eastAsia="zh-CN"/>
        </w:rPr>
        <w:t>附件</w:t>
      </w:r>
      <w:r w:rsidRPr="00BD3D12">
        <w:rPr>
          <w:lang w:val="fr-FR" w:eastAsia="zh-CN"/>
        </w:rPr>
        <w:t>B</w:t>
      </w:r>
      <w:bookmarkEnd w:id="6"/>
    </w:p>
    <w:p w14:paraId="5F2BAF22" w14:textId="77777777" w:rsidR="00146C65" w:rsidRPr="00BD3D12" w:rsidRDefault="00146C65" w:rsidP="001D0C8D">
      <w:pPr>
        <w:pStyle w:val="Annextitle"/>
        <w:outlineLvl w:val="0"/>
        <w:rPr>
          <w:lang w:val="fr-FR" w:eastAsia="zh-CN"/>
        </w:rPr>
      </w:pPr>
      <w:r w:rsidRPr="002B04C3">
        <w:rPr>
          <w:rFonts w:hint="eastAsia"/>
          <w:lang w:eastAsia="zh-CN"/>
        </w:rPr>
        <w:t>通过跨部门协调组协调无线电通信、标准化和发展活动</w:t>
      </w:r>
    </w:p>
    <w:p w14:paraId="29EA9C92" w14:textId="77777777" w:rsidR="00146C65" w:rsidRPr="002B04C3" w:rsidRDefault="00146C65" w:rsidP="00146C65">
      <w:pPr>
        <w:pStyle w:val="Normalaftertitle0"/>
        <w:ind w:firstLineChars="200" w:firstLine="480"/>
        <w:rPr>
          <w:lang w:eastAsia="zh-CN"/>
        </w:rPr>
      </w:pPr>
      <w:r w:rsidRPr="002B04C3">
        <w:rPr>
          <w:rFonts w:hint="eastAsia"/>
          <w:lang w:eastAsia="zh-CN"/>
        </w:rPr>
        <w:t>关于</w:t>
      </w:r>
      <w:r>
        <w:rPr>
          <w:rFonts w:hint="eastAsia"/>
          <w:lang w:eastAsia="zh-CN"/>
        </w:rPr>
        <w:t>世界电信标准化全会</w:t>
      </w:r>
      <w:bookmarkStart w:id="7" w:name="_Hlk181799503"/>
      <w:r>
        <w:rPr>
          <w:rFonts w:hint="eastAsia"/>
          <w:lang w:eastAsia="zh-CN"/>
        </w:rPr>
        <w:t>第</w:t>
      </w:r>
      <w:r>
        <w:rPr>
          <w:rFonts w:hint="eastAsia"/>
          <w:lang w:eastAsia="zh-CN"/>
        </w:rPr>
        <w:t>1</w:t>
      </w:r>
      <w:r>
        <w:rPr>
          <w:lang w:eastAsia="zh-CN"/>
        </w:rPr>
        <w:t>8</w:t>
      </w:r>
      <w:r>
        <w:rPr>
          <w:rFonts w:hint="eastAsia"/>
          <w:lang w:eastAsia="zh-CN"/>
        </w:rPr>
        <w:t>号决议（</w:t>
      </w:r>
      <w:r>
        <w:rPr>
          <w:rFonts w:hint="eastAsia"/>
          <w:lang w:eastAsia="zh-CN"/>
        </w:rPr>
        <w:t>2</w:t>
      </w:r>
      <w:r>
        <w:rPr>
          <w:lang w:eastAsia="zh-CN"/>
        </w:rPr>
        <w:t>024</w:t>
      </w:r>
      <w:r>
        <w:rPr>
          <w:rFonts w:hint="eastAsia"/>
          <w:lang w:eastAsia="zh-CN"/>
        </w:rPr>
        <w:t>年，新德里，修订版）</w:t>
      </w:r>
      <w:bookmarkEnd w:id="7"/>
      <w:r w:rsidRPr="002B04C3">
        <w:rPr>
          <w:rFonts w:ascii="STKaiti" w:eastAsia="STKaiti" w:hAnsi="STKaiti" w:hint="eastAsia"/>
          <w:lang w:eastAsia="zh-CN"/>
        </w:rPr>
        <w:t>做出决议</w:t>
      </w:r>
      <w:r w:rsidRPr="002B04C3">
        <w:rPr>
          <w:rFonts w:hint="eastAsia"/>
          <w:lang w:eastAsia="zh-CN"/>
        </w:rPr>
        <w:t>2</w:t>
      </w:r>
      <w:r w:rsidRPr="002B04C3">
        <w:rPr>
          <w:lang w:eastAsia="zh-CN"/>
        </w:rPr>
        <w:t xml:space="preserve"> ii)</w:t>
      </w:r>
      <w:r w:rsidRPr="002B04C3">
        <w:rPr>
          <w:rFonts w:hint="eastAsia"/>
          <w:lang w:eastAsia="zh-CN"/>
        </w:rPr>
        <w:t>，须采用以下程序：</w:t>
      </w:r>
    </w:p>
    <w:p w14:paraId="28855220" w14:textId="77777777" w:rsidR="00146C65" w:rsidRPr="002B04C3" w:rsidRDefault="00146C65" w:rsidP="00146C65">
      <w:pPr>
        <w:pStyle w:val="enumlev1"/>
        <w:rPr>
          <w:lang w:eastAsia="zh-CN"/>
        </w:rPr>
      </w:pPr>
      <w:r w:rsidRPr="002B04C3">
        <w:rPr>
          <w:lang w:eastAsia="zh-CN"/>
        </w:rPr>
        <w:t>a)</w:t>
      </w:r>
      <w:r w:rsidRPr="002B04C3">
        <w:rPr>
          <w:lang w:eastAsia="zh-CN"/>
        </w:rPr>
        <w:tab/>
      </w:r>
      <w:r>
        <w:rPr>
          <w:rFonts w:hint="eastAsia"/>
          <w:lang w:eastAsia="zh-CN"/>
        </w:rPr>
        <w:t>第</w:t>
      </w:r>
      <w:r>
        <w:rPr>
          <w:rFonts w:hint="eastAsia"/>
          <w:lang w:eastAsia="zh-CN"/>
        </w:rPr>
        <w:t>1</w:t>
      </w:r>
      <w:r>
        <w:rPr>
          <w:lang w:eastAsia="zh-CN"/>
        </w:rPr>
        <w:t>8</w:t>
      </w:r>
      <w:r>
        <w:rPr>
          <w:rFonts w:hint="eastAsia"/>
          <w:lang w:eastAsia="zh-CN"/>
        </w:rPr>
        <w:t>号决议（</w:t>
      </w:r>
      <w:r>
        <w:rPr>
          <w:rFonts w:hint="eastAsia"/>
          <w:lang w:eastAsia="zh-CN"/>
        </w:rPr>
        <w:t>2</w:t>
      </w:r>
      <w:r>
        <w:rPr>
          <w:lang w:eastAsia="zh-CN"/>
        </w:rPr>
        <w:t>024</w:t>
      </w:r>
      <w:r>
        <w:rPr>
          <w:rFonts w:hint="eastAsia"/>
          <w:lang w:eastAsia="zh-CN"/>
        </w:rPr>
        <w:t>年，新德里，修订版）</w:t>
      </w:r>
      <w:r w:rsidRPr="002B04C3">
        <w:rPr>
          <w:rFonts w:eastAsia="STKaiti" w:hint="eastAsia"/>
          <w:lang w:eastAsia="zh-CN"/>
        </w:rPr>
        <w:t>做出决议</w:t>
      </w:r>
      <w:r w:rsidRPr="002B04C3">
        <w:rPr>
          <w:lang w:eastAsia="zh-CN"/>
        </w:rPr>
        <w:t>1</w:t>
      </w:r>
      <w:r w:rsidRPr="002B04C3">
        <w:rPr>
          <w:rFonts w:hint="eastAsia"/>
          <w:lang w:eastAsia="zh-CN"/>
        </w:rPr>
        <w:t>提及的顾问组</w:t>
      </w:r>
      <w:r>
        <w:rPr>
          <w:rFonts w:hint="eastAsia"/>
          <w:lang w:eastAsia="zh-CN"/>
        </w:rPr>
        <w:t>联合</w:t>
      </w:r>
      <w:r w:rsidRPr="002B04C3">
        <w:rPr>
          <w:rFonts w:hint="eastAsia"/>
          <w:lang w:eastAsia="zh-CN"/>
        </w:rPr>
        <w:t>会议可在特殊情况下成立跨部门协调组（</w:t>
      </w:r>
      <w:r w:rsidRPr="002B04C3">
        <w:rPr>
          <w:lang w:eastAsia="zh-CN"/>
        </w:rPr>
        <w:t>ICG</w:t>
      </w:r>
      <w:r w:rsidRPr="002B04C3">
        <w:rPr>
          <w:rFonts w:hint="eastAsia"/>
          <w:lang w:eastAsia="zh-CN"/>
        </w:rPr>
        <w:t>），协调所涉部门的工作并帮助顾问组协调各自相关研究组的有关活动。</w:t>
      </w:r>
    </w:p>
    <w:p w14:paraId="7834DCD1" w14:textId="017F00BB" w:rsidR="00146C65" w:rsidRDefault="00146C65" w:rsidP="001D0C8D">
      <w:pPr>
        <w:pStyle w:val="enumlev1"/>
        <w:rPr>
          <w:lang w:eastAsia="zh-CN"/>
        </w:rPr>
      </w:pPr>
      <w:r w:rsidRPr="002B04C3">
        <w:rPr>
          <w:lang w:eastAsia="zh-CN"/>
        </w:rPr>
        <w:t>b)</w:t>
      </w:r>
      <w:r w:rsidRPr="002B04C3">
        <w:rPr>
          <w:lang w:eastAsia="zh-CN"/>
        </w:rPr>
        <w:tab/>
      </w:r>
      <w:r>
        <w:rPr>
          <w:rFonts w:hint="eastAsia"/>
          <w:lang w:eastAsia="zh-CN"/>
        </w:rPr>
        <w:t>联合</w:t>
      </w:r>
      <w:r w:rsidRPr="002B04C3">
        <w:rPr>
          <w:rFonts w:hint="eastAsia"/>
          <w:lang w:eastAsia="zh-CN"/>
        </w:rPr>
        <w:t>会议须同时指定牵头工作的部门。</w:t>
      </w:r>
    </w:p>
    <w:p w14:paraId="1F083DD5" w14:textId="77777777" w:rsidR="00146C65" w:rsidRPr="002B04C3" w:rsidRDefault="00146C65" w:rsidP="00146C65">
      <w:pPr>
        <w:pStyle w:val="enumlev1"/>
        <w:rPr>
          <w:lang w:eastAsia="zh-CN"/>
        </w:rPr>
      </w:pPr>
      <w:r w:rsidRPr="002B04C3">
        <w:rPr>
          <w:lang w:eastAsia="zh-CN"/>
        </w:rPr>
        <w:t>c)</w:t>
      </w:r>
      <w:r w:rsidRPr="002B04C3">
        <w:rPr>
          <w:lang w:eastAsia="zh-CN"/>
        </w:rPr>
        <w:tab/>
      </w:r>
      <w:r>
        <w:rPr>
          <w:rFonts w:hint="eastAsia"/>
          <w:lang w:eastAsia="zh-CN"/>
        </w:rPr>
        <w:t>联合</w:t>
      </w:r>
      <w:r w:rsidRPr="002B04C3">
        <w:rPr>
          <w:rFonts w:hint="eastAsia"/>
          <w:lang w:eastAsia="zh-CN"/>
        </w:rPr>
        <w:t>会议须根据协调组成立时的实际情况和所面临的问题确定各</w:t>
      </w:r>
      <w:r w:rsidRPr="002B04C3">
        <w:rPr>
          <w:lang w:eastAsia="zh-CN"/>
        </w:rPr>
        <w:t>ICG</w:t>
      </w:r>
      <w:r w:rsidRPr="002B04C3">
        <w:rPr>
          <w:rFonts w:hint="eastAsia"/>
          <w:lang w:eastAsia="zh-CN"/>
        </w:rPr>
        <w:t>的职权；</w:t>
      </w:r>
      <w:r>
        <w:rPr>
          <w:rFonts w:hint="eastAsia"/>
          <w:lang w:eastAsia="zh-CN"/>
        </w:rPr>
        <w:t>联合</w:t>
      </w:r>
      <w:r w:rsidRPr="002B04C3">
        <w:rPr>
          <w:rFonts w:hint="eastAsia"/>
          <w:lang w:eastAsia="zh-CN"/>
        </w:rPr>
        <w:t>会议还须确定</w:t>
      </w:r>
      <w:r w:rsidRPr="002B04C3">
        <w:rPr>
          <w:lang w:eastAsia="zh-CN"/>
        </w:rPr>
        <w:t>ICG</w:t>
      </w:r>
      <w:r w:rsidRPr="002B04C3">
        <w:rPr>
          <w:rFonts w:hint="eastAsia"/>
          <w:lang w:eastAsia="zh-CN"/>
        </w:rPr>
        <w:t>终止工作的目标日期。</w:t>
      </w:r>
    </w:p>
    <w:p w14:paraId="1A38CA41" w14:textId="77777777" w:rsidR="00146C65" w:rsidRPr="002B04C3" w:rsidRDefault="00146C65" w:rsidP="00146C65">
      <w:pPr>
        <w:pStyle w:val="enumlev1"/>
        <w:rPr>
          <w:lang w:eastAsia="zh-CN"/>
        </w:rPr>
      </w:pPr>
      <w:r w:rsidRPr="002B04C3">
        <w:rPr>
          <w:lang w:eastAsia="zh-CN"/>
        </w:rPr>
        <w:t>d)</w:t>
      </w:r>
      <w:r w:rsidRPr="002B04C3">
        <w:rPr>
          <w:lang w:eastAsia="zh-CN"/>
        </w:rPr>
        <w:tab/>
        <w:t>ICG</w:t>
      </w:r>
      <w:r w:rsidRPr="002B04C3">
        <w:rPr>
          <w:rFonts w:hint="eastAsia"/>
          <w:lang w:eastAsia="zh-CN"/>
        </w:rPr>
        <w:t>须指定一名主席和一名副主席，各代表一个部门。</w:t>
      </w:r>
    </w:p>
    <w:p w14:paraId="0FB3EA18" w14:textId="77777777" w:rsidR="00146C65" w:rsidRPr="002B04C3" w:rsidRDefault="00146C65" w:rsidP="00146C65">
      <w:pPr>
        <w:pStyle w:val="enumlev1"/>
        <w:rPr>
          <w:lang w:eastAsia="zh-CN"/>
        </w:rPr>
      </w:pPr>
      <w:r w:rsidRPr="002B04C3">
        <w:rPr>
          <w:lang w:eastAsia="zh-CN"/>
        </w:rPr>
        <w:t>e)</w:t>
      </w:r>
      <w:r w:rsidRPr="002B04C3">
        <w:rPr>
          <w:lang w:eastAsia="zh-CN"/>
        </w:rPr>
        <w:tab/>
      </w:r>
      <w:r w:rsidRPr="002B04C3">
        <w:rPr>
          <w:rFonts w:hint="eastAsia"/>
          <w:lang w:eastAsia="zh-CN"/>
        </w:rPr>
        <w:t>根据</w:t>
      </w:r>
      <w:r>
        <w:rPr>
          <w:rFonts w:hint="eastAsia"/>
          <w:lang w:eastAsia="zh-CN"/>
        </w:rPr>
        <w:t>国际电联</w:t>
      </w:r>
      <w:r w:rsidRPr="002B04C3">
        <w:rPr>
          <w:rFonts w:hint="eastAsia"/>
          <w:lang w:eastAsia="zh-CN"/>
        </w:rPr>
        <w:t>《组织法》第</w:t>
      </w:r>
      <w:r w:rsidRPr="002B04C3">
        <w:rPr>
          <w:lang w:eastAsia="zh-CN"/>
        </w:rPr>
        <w:t>86-88</w:t>
      </w:r>
      <w:r w:rsidRPr="002B04C3">
        <w:rPr>
          <w:rFonts w:hint="eastAsia"/>
          <w:lang w:eastAsia="zh-CN"/>
        </w:rPr>
        <w:t>款、</w:t>
      </w:r>
      <w:r w:rsidRPr="002B04C3">
        <w:rPr>
          <w:lang w:eastAsia="zh-CN"/>
        </w:rPr>
        <w:t>110-112</w:t>
      </w:r>
      <w:r w:rsidRPr="002B04C3">
        <w:rPr>
          <w:rFonts w:hint="eastAsia"/>
          <w:lang w:eastAsia="zh-CN"/>
        </w:rPr>
        <w:t>款和</w:t>
      </w:r>
      <w:r w:rsidRPr="002B04C3">
        <w:rPr>
          <w:lang w:eastAsia="zh-CN"/>
        </w:rPr>
        <w:t>134-136</w:t>
      </w:r>
      <w:r w:rsidRPr="002B04C3">
        <w:rPr>
          <w:rFonts w:hint="eastAsia"/>
          <w:lang w:eastAsia="zh-CN"/>
        </w:rPr>
        <w:t>款，</w:t>
      </w:r>
      <w:r w:rsidRPr="002B04C3">
        <w:rPr>
          <w:lang w:eastAsia="zh-CN"/>
        </w:rPr>
        <w:t>ICG</w:t>
      </w:r>
      <w:r w:rsidRPr="002B04C3">
        <w:rPr>
          <w:rFonts w:hint="eastAsia"/>
          <w:lang w:eastAsia="zh-CN"/>
        </w:rPr>
        <w:t>须向参与部门的成员开放。</w:t>
      </w:r>
    </w:p>
    <w:p w14:paraId="04286354" w14:textId="77777777" w:rsidR="00146C65" w:rsidRPr="002B04C3" w:rsidRDefault="00146C65" w:rsidP="00146C65">
      <w:pPr>
        <w:pStyle w:val="enumlev1"/>
        <w:rPr>
          <w:lang w:eastAsia="zh-CN"/>
        </w:rPr>
      </w:pPr>
      <w:r w:rsidRPr="002B04C3">
        <w:rPr>
          <w:lang w:eastAsia="zh-CN"/>
        </w:rPr>
        <w:t>f)</w:t>
      </w:r>
      <w:r w:rsidRPr="002B04C3">
        <w:rPr>
          <w:lang w:eastAsia="zh-CN"/>
        </w:rPr>
        <w:tab/>
        <w:t>ICG</w:t>
      </w:r>
      <w:r w:rsidRPr="002B04C3">
        <w:rPr>
          <w:rFonts w:hint="eastAsia"/>
          <w:lang w:eastAsia="zh-CN"/>
        </w:rPr>
        <w:t>无须制定建议书。</w:t>
      </w:r>
    </w:p>
    <w:p w14:paraId="1C77415E" w14:textId="77777777" w:rsidR="00146C65" w:rsidRPr="002B04C3" w:rsidRDefault="00146C65" w:rsidP="00146C65">
      <w:pPr>
        <w:pStyle w:val="enumlev1"/>
        <w:rPr>
          <w:lang w:eastAsia="zh-CN"/>
        </w:rPr>
      </w:pPr>
      <w:r w:rsidRPr="002B04C3">
        <w:rPr>
          <w:lang w:eastAsia="zh-CN"/>
        </w:rPr>
        <w:t>g)</w:t>
      </w:r>
      <w:r w:rsidRPr="002B04C3">
        <w:rPr>
          <w:lang w:eastAsia="zh-CN"/>
        </w:rPr>
        <w:tab/>
        <w:t>ICG</w:t>
      </w:r>
      <w:r w:rsidRPr="002B04C3">
        <w:rPr>
          <w:rFonts w:hint="eastAsia"/>
          <w:lang w:eastAsia="zh-CN"/>
        </w:rPr>
        <w:t>须准备有关其协调活动的报告，以提交给每个部门的顾问组；这些报告须由主任提交给两个参与部门。</w:t>
      </w:r>
    </w:p>
    <w:p w14:paraId="2613814D" w14:textId="77777777" w:rsidR="00146C65" w:rsidRPr="002B04C3" w:rsidRDefault="00146C65" w:rsidP="00146C65">
      <w:pPr>
        <w:pStyle w:val="enumlev1"/>
        <w:rPr>
          <w:lang w:eastAsia="zh-CN"/>
        </w:rPr>
      </w:pPr>
      <w:r w:rsidRPr="002B04C3">
        <w:rPr>
          <w:lang w:eastAsia="zh-CN"/>
        </w:rPr>
        <w:t>h)</w:t>
      </w:r>
      <w:r w:rsidRPr="002B04C3">
        <w:rPr>
          <w:lang w:eastAsia="zh-CN"/>
        </w:rPr>
        <w:tab/>
      </w:r>
      <w:r w:rsidRPr="00384170">
        <w:rPr>
          <w:lang w:eastAsia="zh-CN"/>
        </w:rPr>
        <w:t>世界电信标准化全会</w:t>
      </w:r>
      <w:r w:rsidRPr="00384170">
        <w:rPr>
          <w:rFonts w:hint="eastAsia"/>
          <w:lang w:eastAsia="zh-CN"/>
        </w:rPr>
        <w:t>或无线电通信全会或世界电信发展大会亦可根据其它部门顾问组的建议成立</w:t>
      </w:r>
      <w:r w:rsidRPr="00384170">
        <w:rPr>
          <w:lang w:eastAsia="zh-CN"/>
        </w:rPr>
        <w:t>ICG</w:t>
      </w:r>
      <w:r w:rsidRPr="00384170">
        <w:rPr>
          <w:rFonts w:hint="eastAsia"/>
          <w:lang w:eastAsia="zh-CN"/>
        </w:rPr>
        <w:t>。</w:t>
      </w:r>
    </w:p>
    <w:p w14:paraId="55542BC1" w14:textId="77777777" w:rsidR="00146C65" w:rsidRDefault="00146C65" w:rsidP="00146C65">
      <w:pPr>
        <w:pStyle w:val="enumlev1"/>
        <w:rPr>
          <w:lang w:eastAsia="zh-CN"/>
        </w:rPr>
      </w:pPr>
      <w:r w:rsidRPr="002B04C3">
        <w:rPr>
          <w:lang w:eastAsia="zh-CN"/>
        </w:rPr>
        <w:t>i)</w:t>
      </w:r>
      <w:r w:rsidRPr="002B04C3">
        <w:rPr>
          <w:lang w:eastAsia="zh-CN"/>
        </w:rPr>
        <w:tab/>
        <w:t>ICG</w:t>
      </w:r>
      <w:r w:rsidRPr="002B04C3">
        <w:rPr>
          <w:rFonts w:hint="eastAsia"/>
          <w:lang w:eastAsia="zh-CN"/>
        </w:rPr>
        <w:t>的费用须由参与部门均摊，而且每位主任均须在其部门预算中留出此类会议的预算。</w:t>
      </w:r>
    </w:p>
    <w:p w14:paraId="3259EBED" w14:textId="77777777" w:rsidR="001D0C8D" w:rsidRDefault="001D0C8D" w:rsidP="00146C65">
      <w:pPr>
        <w:pStyle w:val="enumlev1"/>
        <w:rPr>
          <w:lang w:eastAsia="zh-CN"/>
        </w:rPr>
      </w:pPr>
    </w:p>
    <w:p w14:paraId="476E31E4" w14:textId="77777777" w:rsidR="001D0C8D" w:rsidRDefault="001D0C8D" w:rsidP="00146C65">
      <w:pPr>
        <w:pStyle w:val="enumlev1"/>
        <w:rPr>
          <w:lang w:eastAsia="zh-CN"/>
        </w:rPr>
      </w:pPr>
    </w:p>
    <w:p w14:paraId="34173351" w14:textId="77777777" w:rsidR="001D0C8D" w:rsidRDefault="001D0C8D" w:rsidP="00146C65">
      <w:pPr>
        <w:pStyle w:val="enumlev1"/>
        <w:rPr>
          <w:lang w:eastAsia="zh-CN"/>
        </w:rPr>
      </w:pPr>
    </w:p>
    <w:p w14:paraId="53392DE7" w14:textId="77777777" w:rsidR="001D0C8D" w:rsidRDefault="001D0C8D" w:rsidP="00146C65">
      <w:pPr>
        <w:pStyle w:val="enumlev1"/>
        <w:rPr>
          <w:lang w:eastAsia="zh-CN"/>
        </w:rPr>
      </w:pPr>
    </w:p>
    <w:p w14:paraId="0FCBBA32" w14:textId="77777777" w:rsidR="001D0C8D" w:rsidRDefault="001D0C8D" w:rsidP="00146C65">
      <w:pPr>
        <w:pStyle w:val="enumlev1"/>
        <w:rPr>
          <w:lang w:eastAsia="zh-CN"/>
        </w:rPr>
      </w:pPr>
    </w:p>
    <w:p w14:paraId="6F790F04" w14:textId="77777777" w:rsidR="001D0C8D" w:rsidRDefault="001D0C8D" w:rsidP="00146C65">
      <w:pPr>
        <w:pStyle w:val="enumlev1"/>
        <w:rPr>
          <w:lang w:eastAsia="zh-CN"/>
        </w:rPr>
      </w:pPr>
    </w:p>
    <w:p w14:paraId="129E4D4B" w14:textId="77777777" w:rsidR="001D0C8D" w:rsidRDefault="001D0C8D" w:rsidP="00146C65">
      <w:pPr>
        <w:pStyle w:val="enumlev1"/>
        <w:rPr>
          <w:lang w:eastAsia="zh-CN"/>
        </w:rPr>
      </w:pPr>
    </w:p>
    <w:p w14:paraId="42EA2E1D" w14:textId="77777777" w:rsidR="001D0C8D" w:rsidRDefault="001D0C8D" w:rsidP="00146C65">
      <w:pPr>
        <w:pStyle w:val="enumlev1"/>
        <w:rPr>
          <w:lang w:eastAsia="zh-CN"/>
        </w:rPr>
      </w:pPr>
    </w:p>
    <w:p w14:paraId="28792375" w14:textId="147AAAD0" w:rsidR="001D0C8D" w:rsidRDefault="001D0C8D" w:rsidP="00146C65">
      <w:pPr>
        <w:pStyle w:val="enumlev1"/>
        <w:rPr>
          <w:lang w:eastAsia="zh-CN"/>
        </w:rPr>
      </w:pPr>
      <w:r>
        <w:rPr>
          <w:lang w:eastAsia="zh-CN"/>
        </w:rPr>
        <w:br w:type="page"/>
      </w:r>
    </w:p>
    <w:p w14:paraId="191F8194" w14:textId="77777777" w:rsidR="00146C65" w:rsidRPr="00BD3D12" w:rsidRDefault="00146C65" w:rsidP="001D0C8D">
      <w:pPr>
        <w:pStyle w:val="AnnexNo"/>
        <w:outlineLvl w:val="0"/>
        <w:rPr>
          <w:lang w:val="fr-FR" w:eastAsia="zh-CN"/>
        </w:rPr>
      </w:pPr>
      <w:bookmarkStart w:id="8" w:name="_Toc114651298"/>
      <w:r w:rsidRPr="00BD3D12">
        <w:rPr>
          <w:lang w:val="fr-FR" w:eastAsia="zh-CN"/>
        </w:rPr>
        <w:lastRenderedPageBreak/>
        <w:t>（</w:t>
      </w:r>
      <w:r w:rsidRPr="002B04C3">
        <w:rPr>
          <w:lang w:eastAsia="zh-CN"/>
        </w:rPr>
        <w:t>第</w:t>
      </w:r>
      <w:r w:rsidRPr="00BD3D12">
        <w:rPr>
          <w:lang w:val="fr-FR" w:eastAsia="zh-CN"/>
        </w:rPr>
        <w:t>18</w:t>
      </w:r>
      <w:r w:rsidRPr="002B04C3">
        <w:rPr>
          <w:lang w:eastAsia="zh-CN"/>
        </w:rPr>
        <w:t>号决议</w:t>
      </w:r>
      <w:r w:rsidRPr="00BD3D12">
        <w:rPr>
          <w:rFonts w:hint="eastAsia"/>
          <w:lang w:val="fr-FR" w:eastAsia="zh-CN"/>
        </w:rPr>
        <w:t>（</w:t>
      </w:r>
      <w:r>
        <w:rPr>
          <w:rFonts w:hint="eastAsia"/>
          <w:lang w:eastAsia="zh-CN"/>
        </w:rPr>
        <w:t>2024</w:t>
      </w:r>
      <w:r>
        <w:rPr>
          <w:rFonts w:hint="eastAsia"/>
          <w:lang w:eastAsia="zh-CN"/>
        </w:rPr>
        <w:t>年，新德里</w:t>
      </w:r>
      <w:r w:rsidRPr="00BD3D12">
        <w:rPr>
          <w:lang w:val="fr-FR" w:eastAsia="zh-CN"/>
        </w:rPr>
        <w:t>，</w:t>
      </w:r>
      <w:r w:rsidRPr="002B04C3">
        <w:rPr>
          <w:lang w:eastAsia="zh-CN"/>
        </w:rPr>
        <w:t>修订版</w:t>
      </w:r>
      <w:r w:rsidRPr="00BD3D12">
        <w:rPr>
          <w:lang w:val="fr-FR" w:eastAsia="zh-CN"/>
        </w:rPr>
        <w:t>））</w:t>
      </w:r>
      <w:r w:rsidRPr="00BD3D12">
        <w:rPr>
          <w:rFonts w:hint="eastAsia"/>
          <w:lang w:val="fr-FR" w:eastAsia="zh-CN"/>
        </w:rPr>
        <w:br/>
      </w:r>
      <w:r w:rsidRPr="002B04C3">
        <w:rPr>
          <w:rFonts w:hint="eastAsia"/>
          <w:lang w:eastAsia="zh-CN"/>
        </w:rPr>
        <w:t>附件</w:t>
      </w:r>
      <w:r w:rsidRPr="00BD3D12">
        <w:rPr>
          <w:rFonts w:hint="eastAsia"/>
          <w:lang w:val="fr-FR" w:eastAsia="zh-CN"/>
        </w:rPr>
        <w:t>C</w:t>
      </w:r>
      <w:bookmarkEnd w:id="8"/>
    </w:p>
    <w:p w14:paraId="68BAC4E8" w14:textId="77777777" w:rsidR="00146C65" w:rsidRPr="00BD3D12" w:rsidRDefault="00146C65" w:rsidP="001D0C8D">
      <w:pPr>
        <w:pStyle w:val="Annextitle"/>
        <w:outlineLvl w:val="0"/>
        <w:rPr>
          <w:lang w:val="fr-FR" w:eastAsia="zh-CN"/>
        </w:rPr>
      </w:pPr>
      <w:r w:rsidRPr="002B04C3">
        <w:rPr>
          <w:rFonts w:hint="eastAsia"/>
          <w:lang w:eastAsia="zh-CN"/>
        </w:rPr>
        <w:t>通过跨部门报告人组协调无线电通信、</w:t>
      </w:r>
      <w:r w:rsidRPr="00BD3D12">
        <w:rPr>
          <w:lang w:val="fr-FR" w:eastAsia="zh-CN"/>
        </w:rPr>
        <w:br/>
      </w:r>
      <w:r w:rsidRPr="002B04C3">
        <w:rPr>
          <w:rFonts w:hint="eastAsia"/>
          <w:lang w:eastAsia="zh-CN"/>
        </w:rPr>
        <w:t>电信标准化和发展活动</w:t>
      </w:r>
    </w:p>
    <w:p w14:paraId="6020F6AF" w14:textId="77777777" w:rsidR="00146C65" w:rsidRPr="002B04C3" w:rsidRDefault="00146C65" w:rsidP="00146C65">
      <w:pPr>
        <w:pStyle w:val="Normalaftertitle0"/>
        <w:ind w:firstLineChars="200" w:firstLine="480"/>
        <w:rPr>
          <w:lang w:eastAsia="zh-CN"/>
        </w:rPr>
      </w:pPr>
      <w:r w:rsidRPr="002B04C3">
        <w:rPr>
          <w:rFonts w:hint="eastAsia"/>
          <w:lang w:eastAsia="zh-CN"/>
        </w:rPr>
        <w:t>针对</w:t>
      </w:r>
      <w:r>
        <w:rPr>
          <w:rFonts w:hint="eastAsia"/>
          <w:lang w:eastAsia="zh-CN"/>
        </w:rPr>
        <w:t>世界电信标准化全会第</w:t>
      </w:r>
      <w:r>
        <w:rPr>
          <w:rFonts w:hint="eastAsia"/>
          <w:lang w:eastAsia="zh-CN"/>
        </w:rPr>
        <w:t>1</w:t>
      </w:r>
      <w:r>
        <w:rPr>
          <w:lang w:eastAsia="zh-CN"/>
        </w:rPr>
        <w:t>8</w:t>
      </w:r>
      <w:r>
        <w:rPr>
          <w:rFonts w:hint="eastAsia"/>
          <w:lang w:eastAsia="zh-CN"/>
        </w:rPr>
        <w:t>号决议（</w:t>
      </w:r>
      <w:r>
        <w:rPr>
          <w:rFonts w:hint="eastAsia"/>
          <w:lang w:eastAsia="zh-CN"/>
        </w:rPr>
        <w:t>2</w:t>
      </w:r>
      <w:r>
        <w:rPr>
          <w:lang w:eastAsia="zh-CN"/>
        </w:rPr>
        <w:t>024</w:t>
      </w:r>
      <w:r>
        <w:rPr>
          <w:rFonts w:hint="eastAsia"/>
          <w:lang w:eastAsia="zh-CN"/>
        </w:rPr>
        <w:t>年，新德里，修订版）</w:t>
      </w:r>
      <w:r w:rsidRPr="002B04C3">
        <w:rPr>
          <w:rStyle w:val="Italic"/>
          <w:rFonts w:hint="eastAsia"/>
          <w:lang w:eastAsia="zh-CN"/>
        </w:rPr>
        <w:t>做出决议</w:t>
      </w:r>
      <w:r w:rsidRPr="002B04C3">
        <w:rPr>
          <w:rFonts w:hint="eastAsia"/>
          <w:lang w:eastAsia="zh-CN"/>
        </w:rPr>
        <w:t>2</w:t>
      </w:r>
      <w:r w:rsidRPr="002B04C3">
        <w:rPr>
          <w:lang w:eastAsia="zh-CN"/>
        </w:rPr>
        <w:t xml:space="preserve"> ii)</w:t>
      </w:r>
      <w:r w:rsidRPr="002B04C3">
        <w:rPr>
          <w:rFonts w:hint="eastAsia"/>
          <w:lang w:eastAsia="zh-CN"/>
        </w:rPr>
        <w:t>，为取得最佳效果而就具体议题集中或者两个</w:t>
      </w:r>
      <w:r w:rsidRPr="002B04C3">
        <w:rPr>
          <w:lang w:eastAsia="zh-CN"/>
        </w:rPr>
        <w:t>、</w:t>
      </w:r>
      <w:r w:rsidRPr="002B04C3">
        <w:rPr>
          <w:rFonts w:hint="eastAsia"/>
          <w:lang w:eastAsia="zh-CN"/>
        </w:rPr>
        <w:t>或者三个部门的相关研究组或工作组技术专家的力量，组成一个技术组在对等的基础上开展合作时，须采取以下程序：</w:t>
      </w:r>
    </w:p>
    <w:p w14:paraId="6BA481D2" w14:textId="77777777" w:rsidR="00146C65" w:rsidRPr="002B04C3" w:rsidRDefault="00146C65" w:rsidP="00146C65">
      <w:pPr>
        <w:pStyle w:val="enumlev1"/>
        <w:rPr>
          <w:lang w:eastAsia="zh-CN"/>
        </w:rPr>
      </w:pPr>
      <w:r w:rsidRPr="002B04C3">
        <w:rPr>
          <w:lang w:eastAsia="zh-CN"/>
        </w:rPr>
        <w:t>a)</w:t>
      </w:r>
      <w:r w:rsidRPr="002B04C3">
        <w:rPr>
          <w:lang w:eastAsia="zh-CN"/>
        </w:rPr>
        <w:tab/>
      </w:r>
      <w:r w:rsidRPr="002B04C3">
        <w:rPr>
          <w:rFonts w:hint="eastAsia"/>
          <w:lang w:eastAsia="zh-CN"/>
        </w:rPr>
        <w:t>在特殊情况下，每个部门的相关研究或工作组可通过相互磋商协议成立跨部门报告人组（</w:t>
      </w:r>
      <w:r w:rsidRPr="002B04C3">
        <w:rPr>
          <w:lang w:eastAsia="zh-CN"/>
        </w:rPr>
        <w:t>IRG</w:t>
      </w:r>
      <w:r w:rsidRPr="002B04C3">
        <w:rPr>
          <w:rFonts w:hint="eastAsia"/>
          <w:lang w:eastAsia="zh-CN"/>
        </w:rPr>
        <w:t>），就具体技术问题协调其工作，并通过联络声明通知</w:t>
      </w:r>
      <w:r>
        <w:rPr>
          <w:rFonts w:hint="eastAsia"/>
          <w:lang w:eastAsia="zh-CN"/>
        </w:rPr>
        <w:t>无线电通信顾问组</w:t>
      </w:r>
      <w:r w:rsidRPr="002B04C3">
        <w:rPr>
          <w:rFonts w:hint="eastAsia"/>
          <w:lang w:eastAsia="zh-CN"/>
        </w:rPr>
        <w:t>、</w:t>
      </w:r>
      <w:r>
        <w:rPr>
          <w:rFonts w:hint="eastAsia"/>
          <w:lang w:eastAsia="zh-CN"/>
        </w:rPr>
        <w:t>电信标准化顾问组</w:t>
      </w:r>
      <w:r w:rsidRPr="002B04C3">
        <w:rPr>
          <w:rFonts w:hint="eastAsia"/>
          <w:lang w:eastAsia="zh-CN"/>
        </w:rPr>
        <w:t>和</w:t>
      </w:r>
      <w:r>
        <w:rPr>
          <w:rFonts w:hint="eastAsia"/>
          <w:lang w:eastAsia="zh-CN"/>
        </w:rPr>
        <w:t>电信发展顾问组</w:t>
      </w:r>
      <w:r w:rsidRPr="002B04C3">
        <w:rPr>
          <w:rFonts w:hint="eastAsia"/>
          <w:lang w:eastAsia="zh-CN"/>
        </w:rPr>
        <w:t>这一行动。</w:t>
      </w:r>
    </w:p>
    <w:p w14:paraId="211544DC" w14:textId="77777777" w:rsidR="00146C65" w:rsidRPr="002B04C3" w:rsidRDefault="00146C65" w:rsidP="00146C65">
      <w:pPr>
        <w:pStyle w:val="enumlev1"/>
        <w:rPr>
          <w:lang w:eastAsia="zh-CN"/>
        </w:rPr>
      </w:pPr>
      <w:r w:rsidRPr="002B04C3">
        <w:rPr>
          <w:lang w:eastAsia="zh-CN"/>
        </w:rPr>
        <w:t>b)</w:t>
      </w:r>
      <w:r w:rsidRPr="002B04C3">
        <w:rPr>
          <w:lang w:eastAsia="zh-CN"/>
        </w:rPr>
        <w:tab/>
      </w:r>
      <w:r w:rsidRPr="002B04C3">
        <w:rPr>
          <w:rFonts w:hint="eastAsia"/>
          <w:lang w:eastAsia="zh-CN"/>
        </w:rPr>
        <w:t>每个部门的相关研究组或工作组须同时就明确界定的</w:t>
      </w:r>
      <w:r w:rsidRPr="002B04C3">
        <w:rPr>
          <w:lang w:eastAsia="zh-CN"/>
        </w:rPr>
        <w:t>IRG</w:t>
      </w:r>
      <w:r w:rsidRPr="002B04C3">
        <w:rPr>
          <w:rFonts w:hint="eastAsia"/>
          <w:lang w:eastAsia="zh-CN"/>
        </w:rPr>
        <w:t>职责范围达成一致，并确定完成工作和终止</w:t>
      </w:r>
      <w:r w:rsidRPr="002B04C3">
        <w:rPr>
          <w:lang w:eastAsia="zh-CN"/>
        </w:rPr>
        <w:t>IRG</w:t>
      </w:r>
      <w:r w:rsidRPr="002B04C3">
        <w:rPr>
          <w:rFonts w:hint="eastAsia"/>
          <w:lang w:eastAsia="zh-CN"/>
        </w:rPr>
        <w:t>的目标日期。</w:t>
      </w:r>
    </w:p>
    <w:p w14:paraId="47FF713B" w14:textId="77777777" w:rsidR="00146C65" w:rsidRPr="002B04C3" w:rsidRDefault="00146C65" w:rsidP="00146C65">
      <w:pPr>
        <w:pStyle w:val="enumlev1"/>
        <w:rPr>
          <w:lang w:eastAsia="zh-CN"/>
        </w:rPr>
      </w:pPr>
      <w:r w:rsidRPr="002B04C3">
        <w:rPr>
          <w:lang w:eastAsia="zh-CN"/>
        </w:rPr>
        <w:t>c)</w:t>
      </w:r>
      <w:r w:rsidRPr="002B04C3">
        <w:rPr>
          <w:lang w:eastAsia="zh-CN"/>
        </w:rPr>
        <w:tab/>
      </w:r>
      <w:r w:rsidRPr="002B04C3">
        <w:rPr>
          <w:rFonts w:hint="eastAsia"/>
          <w:lang w:eastAsia="zh-CN"/>
        </w:rPr>
        <w:t>每个部门的相关研究组或工作组亦须根据所需的具体技术能力指定</w:t>
      </w:r>
      <w:r w:rsidRPr="002B04C3">
        <w:rPr>
          <w:lang w:eastAsia="zh-CN"/>
        </w:rPr>
        <w:t>IRG</w:t>
      </w:r>
      <w:r w:rsidRPr="002B04C3">
        <w:rPr>
          <w:rFonts w:hint="eastAsia"/>
          <w:lang w:eastAsia="zh-CN"/>
        </w:rPr>
        <w:t>的主席（或共同主席），同时确保每个部门均能得到公平代表。</w:t>
      </w:r>
    </w:p>
    <w:p w14:paraId="175533F1" w14:textId="6EC1C982" w:rsidR="00146C65" w:rsidRDefault="00146C65" w:rsidP="001D0C8D">
      <w:pPr>
        <w:pStyle w:val="enumlev1"/>
        <w:rPr>
          <w:lang w:eastAsia="zh-CN"/>
        </w:rPr>
      </w:pPr>
      <w:r w:rsidRPr="002B04C3">
        <w:rPr>
          <w:lang w:eastAsia="zh-CN"/>
        </w:rPr>
        <w:t>d)</w:t>
      </w:r>
      <w:r w:rsidRPr="002B04C3">
        <w:rPr>
          <w:lang w:eastAsia="zh-CN"/>
        </w:rPr>
        <w:tab/>
        <w:t>IRG</w:t>
      </w:r>
      <w:r w:rsidRPr="002B04C3">
        <w:rPr>
          <w:rFonts w:hint="eastAsia"/>
          <w:lang w:eastAsia="zh-CN"/>
        </w:rPr>
        <w:t>作为报告人组，须根据最新版的</w:t>
      </w:r>
      <w:r>
        <w:rPr>
          <w:rFonts w:hint="eastAsia"/>
          <w:lang w:eastAsia="zh-CN"/>
        </w:rPr>
        <w:t>无线电通信全会</w:t>
      </w:r>
      <w:r w:rsidRPr="002B04C3">
        <w:rPr>
          <w:lang w:eastAsia="zh-CN"/>
        </w:rPr>
        <w:t>ITU-R</w:t>
      </w:r>
      <w:r w:rsidRPr="002B04C3">
        <w:rPr>
          <w:rFonts w:hint="eastAsia"/>
          <w:lang w:eastAsia="zh-CN"/>
        </w:rPr>
        <w:t>第</w:t>
      </w:r>
      <w:r w:rsidRPr="002B04C3">
        <w:rPr>
          <w:lang w:eastAsia="zh-CN"/>
        </w:rPr>
        <w:t>1</w:t>
      </w:r>
      <w:r w:rsidRPr="002B04C3">
        <w:rPr>
          <w:rFonts w:hint="eastAsia"/>
          <w:lang w:eastAsia="zh-CN"/>
        </w:rPr>
        <w:t>号决议、</w:t>
      </w:r>
      <w:r w:rsidRPr="002B04C3">
        <w:rPr>
          <w:lang w:eastAsia="zh-CN"/>
        </w:rPr>
        <w:t>ITU-T A.1</w:t>
      </w:r>
      <w:r w:rsidRPr="002B04C3">
        <w:rPr>
          <w:rFonts w:hint="eastAsia"/>
          <w:lang w:eastAsia="zh-CN"/>
        </w:rPr>
        <w:t>建议书和</w:t>
      </w:r>
      <w:r>
        <w:rPr>
          <w:rFonts w:hint="eastAsia"/>
          <w:lang w:eastAsia="zh-CN"/>
        </w:rPr>
        <w:t>世界电信发展大会</w:t>
      </w:r>
      <w:r w:rsidRPr="002B04C3">
        <w:rPr>
          <w:rFonts w:hint="eastAsia"/>
          <w:lang w:eastAsia="zh-CN"/>
        </w:rPr>
        <w:t>第</w:t>
      </w:r>
      <w:r w:rsidRPr="002B04C3">
        <w:rPr>
          <w:lang w:eastAsia="zh-CN"/>
        </w:rPr>
        <w:t>1</w:t>
      </w:r>
      <w:r w:rsidRPr="002B04C3">
        <w:rPr>
          <w:rFonts w:hint="eastAsia"/>
          <w:lang w:eastAsia="zh-CN"/>
        </w:rPr>
        <w:t>号决议中适用于报告人组的条款开展工作；参与仅限于所涉部门的成员。</w:t>
      </w:r>
    </w:p>
    <w:p w14:paraId="3AB658DA" w14:textId="77777777" w:rsidR="00146C65" w:rsidRPr="002B04C3" w:rsidRDefault="00146C65" w:rsidP="00146C65">
      <w:pPr>
        <w:pStyle w:val="enumlev1"/>
        <w:rPr>
          <w:lang w:eastAsia="zh-CN"/>
        </w:rPr>
      </w:pPr>
      <w:r w:rsidRPr="002B04C3">
        <w:rPr>
          <w:lang w:eastAsia="zh-CN"/>
        </w:rPr>
        <w:t>e)</w:t>
      </w:r>
      <w:r w:rsidRPr="002B04C3">
        <w:rPr>
          <w:lang w:eastAsia="zh-CN"/>
        </w:rPr>
        <w:tab/>
        <w:t>IRG</w:t>
      </w:r>
      <w:r w:rsidRPr="002B04C3">
        <w:rPr>
          <w:rFonts w:hint="eastAsia"/>
          <w:lang w:eastAsia="zh-CN"/>
        </w:rPr>
        <w:t>在履行其职权过程中，可制定新建议书草案或建议书修订草案及技术报告草案或技术报告修订草案，以提交其</w:t>
      </w:r>
      <w:r>
        <w:rPr>
          <w:rFonts w:hint="eastAsia"/>
          <w:lang w:eastAsia="zh-CN"/>
        </w:rPr>
        <w:t>归口研究组</w:t>
      </w:r>
      <w:r w:rsidRPr="002B04C3">
        <w:rPr>
          <w:rFonts w:hint="eastAsia"/>
          <w:lang w:eastAsia="zh-CN"/>
        </w:rPr>
        <w:t>或工作组酌情进行进一步处理。</w:t>
      </w:r>
    </w:p>
    <w:p w14:paraId="007B74CC" w14:textId="77777777" w:rsidR="00146C65" w:rsidRPr="002B04C3" w:rsidRDefault="00146C65" w:rsidP="00146C65">
      <w:pPr>
        <w:pStyle w:val="enumlev1"/>
        <w:rPr>
          <w:lang w:eastAsia="zh-CN"/>
        </w:rPr>
      </w:pPr>
      <w:r w:rsidRPr="002B04C3">
        <w:rPr>
          <w:lang w:eastAsia="zh-CN"/>
        </w:rPr>
        <w:t>f)</w:t>
      </w:r>
      <w:r w:rsidRPr="002B04C3">
        <w:rPr>
          <w:lang w:eastAsia="zh-CN"/>
        </w:rPr>
        <w:tab/>
        <w:t>IRG</w:t>
      </w:r>
      <w:r w:rsidRPr="002B04C3">
        <w:rPr>
          <w:rFonts w:hint="eastAsia"/>
          <w:lang w:eastAsia="zh-CN"/>
        </w:rPr>
        <w:t>的工作结果应代表该组协商一致的意见，或反映该组参与方的多种观点。</w:t>
      </w:r>
    </w:p>
    <w:p w14:paraId="1B3C622B" w14:textId="77777777" w:rsidR="00146C65" w:rsidRPr="002B04C3" w:rsidRDefault="00146C65" w:rsidP="00146C65">
      <w:pPr>
        <w:pStyle w:val="enumlev1"/>
        <w:rPr>
          <w:lang w:eastAsia="zh-CN"/>
        </w:rPr>
      </w:pPr>
      <w:r w:rsidRPr="002B04C3">
        <w:rPr>
          <w:lang w:eastAsia="zh-CN"/>
        </w:rPr>
        <w:t>g)</w:t>
      </w:r>
      <w:r w:rsidRPr="002B04C3">
        <w:rPr>
          <w:lang w:eastAsia="zh-CN"/>
        </w:rPr>
        <w:tab/>
        <w:t>IRG</w:t>
      </w:r>
      <w:r w:rsidRPr="002B04C3">
        <w:rPr>
          <w:rFonts w:hint="eastAsia"/>
          <w:lang w:eastAsia="zh-CN"/>
        </w:rPr>
        <w:t>亦须制定有关其活动的报告，以提交给其</w:t>
      </w:r>
      <w:r>
        <w:rPr>
          <w:rFonts w:hint="eastAsia"/>
          <w:lang w:eastAsia="zh-CN"/>
        </w:rPr>
        <w:t>归口研究组</w:t>
      </w:r>
      <w:r w:rsidRPr="002B04C3">
        <w:rPr>
          <w:rFonts w:hint="eastAsia"/>
          <w:lang w:eastAsia="zh-CN"/>
        </w:rPr>
        <w:t>或工作组的每次会议。</w:t>
      </w:r>
    </w:p>
    <w:p w14:paraId="768EDDF7" w14:textId="77777777" w:rsidR="00146C65" w:rsidRPr="002B04C3" w:rsidRDefault="00146C65" w:rsidP="00146C65">
      <w:pPr>
        <w:pStyle w:val="enumlev1"/>
        <w:rPr>
          <w:lang w:eastAsia="zh-CN"/>
        </w:rPr>
      </w:pPr>
      <w:r w:rsidRPr="002B04C3">
        <w:rPr>
          <w:lang w:eastAsia="zh-CN"/>
        </w:rPr>
        <w:t>h)</w:t>
      </w:r>
      <w:r w:rsidRPr="002B04C3">
        <w:rPr>
          <w:lang w:eastAsia="zh-CN"/>
        </w:rPr>
        <w:tab/>
        <w:t>IRG</w:t>
      </w:r>
      <w:r w:rsidRPr="002B04C3">
        <w:rPr>
          <w:rFonts w:hint="eastAsia"/>
          <w:lang w:eastAsia="zh-CN"/>
        </w:rPr>
        <w:t>通常须通过信函和</w:t>
      </w:r>
      <w:r w:rsidRPr="002B04C3">
        <w:rPr>
          <w:lang w:eastAsia="zh-CN"/>
        </w:rPr>
        <w:t>/</w:t>
      </w:r>
      <w:r w:rsidRPr="002B04C3">
        <w:rPr>
          <w:rFonts w:hint="eastAsia"/>
          <w:lang w:eastAsia="zh-CN"/>
        </w:rPr>
        <w:t>或电话会议开展工作，但如果可行且不需要部门支持，偶尔可利用其</w:t>
      </w:r>
      <w:r>
        <w:rPr>
          <w:rFonts w:hint="eastAsia"/>
          <w:lang w:eastAsia="zh-CN"/>
        </w:rPr>
        <w:t>归口研究组</w:t>
      </w:r>
      <w:r w:rsidRPr="002B04C3">
        <w:rPr>
          <w:rFonts w:hint="eastAsia"/>
          <w:lang w:eastAsia="zh-CN"/>
        </w:rPr>
        <w:t>或工作组举行会议的机会召开短期面对面并行会议。</w:t>
      </w:r>
    </w:p>
    <w:p w14:paraId="61E649F9" w14:textId="77777777" w:rsidR="00146C65" w:rsidRDefault="00146C65" w:rsidP="00146C65">
      <w:pPr>
        <w:pStyle w:val="Reasons"/>
        <w:rPr>
          <w:lang w:eastAsia="zh-CN"/>
        </w:rPr>
      </w:pPr>
    </w:p>
    <w:p w14:paraId="28DE69BB" w14:textId="77777777" w:rsidR="004D3C2C" w:rsidRPr="00146C65" w:rsidRDefault="004D3C2C" w:rsidP="00526543">
      <w:pPr>
        <w:rPr>
          <w:i/>
          <w:iCs/>
          <w:lang w:val="en-GB" w:eastAsia="zh-CN"/>
        </w:rPr>
      </w:pPr>
    </w:p>
    <w:p w14:paraId="1D8CE137" w14:textId="77777777" w:rsidR="00146C65" w:rsidRPr="00526543" w:rsidRDefault="00146C65" w:rsidP="00526543">
      <w:pPr>
        <w:rPr>
          <w:lang w:eastAsia="zh-CN"/>
        </w:rPr>
      </w:pPr>
    </w:p>
    <w:p w14:paraId="778AFD5A" w14:textId="77777777" w:rsidR="004D3C2C" w:rsidRPr="00526543" w:rsidRDefault="004D3C2C" w:rsidP="00526543">
      <w:pPr>
        <w:rPr>
          <w:lang w:eastAsia="zh-CN"/>
        </w:rPr>
      </w:pPr>
    </w:p>
    <w:p w14:paraId="1C5E3B77"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F3E" w14:textId="77777777" w:rsidR="00AB4404" w:rsidRDefault="00AB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8A71" w14:textId="77777777" w:rsidR="00AB4404" w:rsidRDefault="00AB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A877" w14:textId="77777777" w:rsidR="00AB4404" w:rsidRDefault="00AB4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9A61CA1"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146C65" w:rsidRPr="00772CEB">
      <w:rPr>
        <w:lang w:val="en-US"/>
      </w:rPr>
      <w:t>WTSA-</w:t>
    </w:r>
    <w:r w:rsidR="00146C65" w:rsidRPr="00772CEB">
      <w:rPr>
        <w:rFonts w:hint="eastAsia"/>
        <w:lang w:val="en-US" w:eastAsia="zh-CN"/>
      </w:rPr>
      <w:t>2</w:t>
    </w:r>
    <w:r w:rsidR="00146C65">
      <w:rPr>
        <w:rFonts w:hint="eastAsia"/>
        <w:lang w:val="en-US" w:eastAsia="zh-CN"/>
      </w:rPr>
      <w:t>4</w:t>
    </w:r>
    <w:r w:rsidR="00146C65" w:rsidRPr="00772CEB">
      <w:rPr>
        <w:lang w:val="en-US"/>
      </w:rPr>
      <w:t xml:space="preserve"> – </w:t>
    </w:r>
    <w:r w:rsidR="00146C65" w:rsidRPr="00772CEB">
      <w:rPr>
        <w:rFonts w:hint="eastAsia"/>
        <w:lang w:val="en-US" w:eastAsia="zh-CN"/>
      </w:rPr>
      <w:t>第</w:t>
    </w:r>
    <w:r w:rsidR="00146C65" w:rsidRPr="00772CEB">
      <w:fldChar w:fldCharType="begin"/>
    </w:r>
    <w:r w:rsidR="00146C65" w:rsidRPr="00772CEB">
      <w:rPr>
        <w:lang w:val="en-US"/>
      </w:rPr>
      <w:instrText>styleref href</w:instrText>
    </w:r>
    <w:r w:rsidR="00146C65" w:rsidRPr="00772CEB">
      <w:fldChar w:fldCharType="separate"/>
    </w:r>
    <w:r w:rsidR="001401DD">
      <w:rPr>
        <w:noProof/>
        <w:lang w:val="en-US"/>
      </w:rPr>
      <w:t>18</w:t>
    </w:r>
    <w:r w:rsidR="00146C65" w:rsidRPr="00772CEB">
      <w:fldChar w:fldCharType="end"/>
    </w:r>
    <w:r w:rsidR="00146C65" w:rsidRPr="00772CEB">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3DD277D" w:rsidR="00AA1264" w:rsidRPr="00D50046" w:rsidRDefault="00D50046" w:rsidP="00D50046">
    <w:pPr>
      <w:pStyle w:val="FooterQP"/>
      <w:rPr>
        <w:lang w:val="en-US"/>
      </w:rPr>
    </w:pPr>
    <w:r>
      <w:rPr>
        <w:lang w:val="en-US"/>
      </w:rPr>
      <w:tab/>
    </w:r>
    <w:r>
      <w:rPr>
        <w:lang w:val="en-US"/>
      </w:rPr>
      <w:tab/>
    </w:r>
    <w:r w:rsidR="00146C65" w:rsidRPr="00772CEB">
      <w:rPr>
        <w:lang w:val="en-US"/>
      </w:rPr>
      <w:t>WTSA-</w:t>
    </w:r>
    <w:r w:rsidR="00146C65" w:rsidRPr="00772CEB">
      <w:rPr>
        <w:rFonts w:hint="eastAsia"/>
        <w:lang w:val="en-US" w:eastAsia="zh-CN"/>
      </w:rPr>
      <w:t>2</w:t>
    </w:r>
    <w:r w:rsidR="00146C65">
      <w:rPr>
        <w:rFonts w:hint="eastAsia"/>
        <w:lang w:val="en-US" w:eastAsia="zh-CN"/>
      </w:rPr>
      <w:t>4</w:t>
    </w:r>
    <w:r w:rsidR="00146C65" w:rsidRPr="00772CEB">
      <w:rPr>
        <w:lang w:val="en-US"/>
      </w:rPr>
      <w:t xml:space="preserve"> – </w:t>
    </w:r>
    <w:r w:rsidR="00146C65" w:rsidRPr="00772CEB">
      <w:rPr>
        <w:rFonts w:hint="eastAsia"/>
        <w:lang w:val="en-US" w:eastAsia="zh-CN"/>
      </w:rPr>
      <w:t>第</w:t>
    </w:r>
    <w:r w:rsidR="00146C65" w:rsidRPr="00772CEB">
      <w:fldChar w:fldCharType="begin"/>
    </w:r>
    <w:r w:rsidR="00146C65" w:rsidRPr="00772CEB">
      <w:rPr>
        <w:lang w:val="en-US"/>
      </w:rPr>
      <w:instrText>styleref href</w:instrText>
    </w:r>
    <w:r w:rsidR="00146C65" w:rsidRPr="00772CEB">
      <w:fldChar w:fldCharType="separate"/>
    </w:r>
    <w:r w:rsidR="001401DD">
      <w:rPr>
        <w:noProof/>
        <w:lang w:val="en-US"/>
      </w:rPr>
      <w:t>18</w:t>
    </w:r>
    <w:r w:rsidR="00146C65" w:rsidRPr="00772CEB">
      <w:fldChar w:fldCharType="end"/>
    </w:r>
    <w:r w:rsidR="00146C65" w:rsidRPr="00772CEB">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82CCCA1" w:rsidR="00A4766C" w:rsidRPr="00A4766C" w:rsidRDefault="00A4766C" w:rsidP="00D50046">
    <w:pPr>
      <w:pStyle w:val="FooterQP"/>
      <w:rPr>
        <w:lang w:val="en-US"/>
      </w:rPr>
    </w:pPr>
    <w:r>
      <w:rPr>
        <w:lang w:val="en-US"/>
      </w:rPr>
      <w:tab/>
    </w:r>
    <w:r>
      <w:rPr>
        <w:lang w:val="en-US"/>
      </w:rPr>
      <w:tab/>
    </w:r>
    <w:r w:rsidRPr="00772CEB">
      <w:rPr>
        <w:lang w:val="en-US"/>
      </w:rPr>
      <w:t>WTSA-</w:t>
    </w:r>
    <w:r w:rsidR="00772CEB" w:rsidRPr="00772CEB">
      <w:rPr>
        <w:rFonts w:hint="eastAsia"/>
        <w:lang w:val="en-US" w:eastAsia="zh-CN"/>
      </w:rPr>
      <w:t>2</w:t>
    </w:r>
    <w:r w:rsidR="00146C65">
      <w:rPr>
        <w:rFonts w:hint="eastAsia"/>
        <w:lang w:val="en-US" w:eastAsia="zh-CN"/>
      </w:rPr>
      <w:t>4</w:t>
    </w:r>
    <w:r w:rsidRPr="00772CEB">
      <w:rPr>
        <w:lang w:val="en-US"/>
      </w:rPr>
      <w:t xml:space="preserve"> – </w:t>
    </w:r>
    <w:r w:rsidR="00E93AC9" w:rsidRPr="00772CEB">
      <w:rPr>
        <w:rFonts w:hint="eastAsia"/>
        <w:lang w:val="en-US" w:eastAsia="zh-CN"/>
      </w:rPr>
      <w:t>第</w:t>
    </w:r>
    <w:r w:rsidRPr="00772CEB">
      <w:fldChar w:fldCharType="begin"/>
    </w:r>
    <w:r w:rsidRPr="00772CEB">
      <w:rPr>
        <w:lang w:val="en-US"/>
      </w:rPr>
      <w:instrText>styleref href</w:instrText>
    </w:r>
    <w:r w:rsidRPr="00772CEB">
      <w:fldChar w:fldCharType="separate"/>
    </w:r>
    <w:r w:rsidR="001401DD">
      <w:rPr>
        <w:noProof/>
        <w:lang w:val="en-US"/>
      </w:rPr>
      <w:t>18</w:t>
    </w:r>
    <w:r w:rsidRPr="00772CEB">
      <w:fldChar w:fldCharType="end"/>
    </w:r>
    <w:r w:rsidR="00E93AC9" w:rsidRPr="00772CEB">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5AB0B3A4" w14:textId="77777777" w:rsidR="00146C65" w:rsidRDefault="00146C65" w:rsidP="00146C65">
      <w:pPr>
        <w:pStyle w:val="FootnoteText"/>
        <w:rPr>
          <w:lang w:eastAsia="zh-CN"/>
        </w:rPr>
      </w:pPr>
      <w:r>
        <w:rPr>
          <w:rStyle w:val="FootnoteReference"/>
          <w:lang w:eastAsia="zh-CN"/>
        </w:rPr>
        <w:t>1</w:t>
      </w:r>
      <w:r>
        <w:rPr>
          <w:lang w:eastAsia="zh-CN"/>
        </w:rPr>
        <w:tab/>
      </w:r>
      <w:r w:rsidRPr="00FB382C">
        <w:rPr>
          <w:rFonts w:hint="eastAsia"/>
          <w:lang w:eastAsia="zh-CN"/>
        </w:rPr>
        <w:t>应提请国际电联无线电通信部门和电信发展部门注意本决议。</w:t>
      </w:r>
    </w:p>
  </w:footnote>
  <w:footnote w:id="2">
    <w:p w14:paraId="47E880C8" w14:textId="77777777" w:rsidR="00146C65" w:rsidRDefault="00146C65" w:rsidP="00146C65">
      <w:pPr>
        <w:pStyle w:val="FootnoteText"/>
        <w:rPr>
          <w:lang w:eastAsia="zh-CN"/>
        </w:rPr>
      </w:pPr>
      <w:r>
        <w:rPr>
          <w:rStyle w:val="FootnoteReference"/>
          <w:lang w:eastAsia="zh-CN"/>
        </w:rPr>
        <w:t>2</w:t>
      </w:r>
      <w:r>
        <w:rPr>
          <w:lang w:eastAsia="zh-CN"/>
        </w:rPr>
        <w:tab/>
      </w:r>
      <w:r w:rsidRPr="000D6DE8">
        <w:rPr>
          <w:rFonts w:hint="eastAsia"/>
          <w:lang w:eastAsia="zh-CN"/>
        </w:rPr>
        <w:t>这些国家包括最不发达国家、小岛屿发展中国家、内陆发展中国家和经济转型国家</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8DB2" w14:textId="77777777" w:rsidR="00AB4404" w:rsidRDefault="00AB4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250E3"/>
    <w:rsid w:val="0003503D"/>
    <w:rsid w:val="00073A3F"/>
    <w:rsid w:val="000843D3"/>
    <w:rsid w:val="000B071B"/>
    <w:rsid w:val="000B47CD"/>
    <w:rsid w:val="000B5A36"/>
    <w:rsid w:val="000C22AE"/>
    <w:rsid w:val="000C26CC"/>
    <w:rsid w:val="000D378F"/>
    <w:rsid w:val="000D3CE4"/>
    <w:rsid w:val="000D5219"/>
    <w:rsid w:val="000D6DAE"/>
    <w:rsid w:val="000E4393"/>
    <w:rsid w:val="000F33F8"/>
    <w:rsid w:val="0010690E"/>
    <w:rsid w:val="001077E5"/>
    <w:rsid w:val="00117D80"/>
    <w:rsid w:val="00121067"/>
    <w:rsid w:val="001309FB"/>
    <w:rsid w:val="001401DD"/>
    <w:rsid w:val="00141741"/>
    <w:rsid w:val="00146C65"/>
    <w:rsid w:val="001762A1"/>
    <w:rsid w:val="00177490"/>
    <w:rsid w:val="001B4A76"/>
    <w:rsid w:val="001C5240"/>
    <w:rsid w:val="001C604C"/>
    <w:rsid w:val="001D0C8D"/>
    <w:rsid w:val="001F3813"/>
    <w:rsid w:val="002178BA"/>
    <w:rsid w:val="002204D5"/>
    <w:rsid w:val="002210D5"/>
    <w:rsid w:val="00227040"/>
    <w:rsid w:val="00237B40"/>
    <w:rsid w:val="002462EF"/>
    <w:rsid w:val="00246C17"/>
    <w:rsid w:val="002742C3"/>
    <w:rsid w:val="002825B1"/>
    <w:rsid w:val="002C182C"/>
    <w:rsid w:val="002D5607"/>
    <w:rsid w:val="002E1B7B"/>
    <w:rsid w:val="002E6A20"/>
    <w:rsid w:val="00330BF4"/>
    <w:rsid w:val="00331B2F"/>
    <w:rsid w:val="003374BB"/>
    <w:rsid w:val="00346698"/>
    <w:rsid w:val="0035222D"/>
    <w:rsid w:val="00370DE5"/>
    <w:rsid w:val="003715FB"/>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12215"/>
    <w:rsid w:val="00523FB0"/>
    <w:rsid w:val="00524FB2"/>
    <w:rsid w:val="00526543"/>
    <w:rsid w:val="0053765D"/>
    <w:rsid w:val="005457B6"/>
    <w:rsid w:val="005534D7"/>
    <w:rsid w:val="005569CA"/>
    <w:rsid w:val="00562EF2"/>
    <w:rsid w:val="00563F4E"/>
    <w:rsid w:val="00566436"/>
    <w:rsid w:val="00574A8C"/>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72CEB"/>
    <w:rsid w:val="00780423"/>
    <w:rsid w:val="00781E25"/>
    <w:rsid w:val="00783EB8"/>
    <w:rsid w:val="007958DD"/>
    <w:rsid w:val="007B6474"/>
    <w:rsid w:val="007D13B4"/>
    <w:rsid w:val="007E0240"/>
    <w:rsid w:val="007F32A3"/>
    <w:rsid w:val="008075CD"/>
    <w:rsid w:val="00823AB1"/>
    <w:rsid w:val="00837339"/>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D10A5"/>
    <w:rsid w:val="009D26AE"/>
    <w:rsid w:val="009D447B"/>
    <w:rsid w:val="009E1DCF"/>
    <w:rsid w:val="009F7009"/>
    <w:rsid w:val="00A01A91"/>
    <w:rsid w:val="00A03B1F"/>
    <w:rsid w:val="00A24E9A"/>
    <w:rsid w:val="00A26B1A"/>
    <w:rsid w:val="00A3085D"/>
    <w:rsid w:val="00A42BA1"/>
    <w:rsid w:val="00A4766C"/>
    <w:rsid w:val="00A65D98"/>
    <w:rsid w:val="00A83D3D"/>
    <w:rsid w:val="00AA1264"/>
    <w:rsid w:val="00AA1D27"/>
    <w:rsid w:val="00AA2D89"/>
    <w:rsid w:val="00AB1DD4"/>
    <w:rsid w:val="00AB2633"/>
    <w:rsid w:val="00AB4404"/>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0F1B"/>
    <w:rsid w:val="00B73379"/>
    <w:rsid w:val="00B73B62"/>
    <w:rsid w:val="00B92804"/>
    <w:rsid w:val="00BB34EA"/>
    <w:rsid w:val="00BE58E6"/>
    <w:rsid w:val="00BF610E"/>
    <w:rsid w:val="00C12E70"/>
    <w:rsid w:val="00C32F69"/>
    <w:rsid w:val="00C42785"/>
    <w:rsid w:val="00C64078"/>
    <w:rsid w:val="00C65373"/>
    <w:rsid w:val="00C706FC"/>
    <w:rsid w:val="00C72AF4"/>
    <w:rsid w:val="00C73E72"/>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94D9E"/>
    <w:rsid w:val="00D96CEE"/>
    <w:rsid w:val="00DA7D60"/>
    <w:rsid w:val="00DB0724"/>
    <w:rsid w:val="00DB2AF8"/>
    <w:rsid w:val="00DB5592"/>
    <w:rsid w:val="00DE48B4"/>
    <w:rsid w:val="00E03ABC"/>
    <w:rsid w:val="00E154E2"/>
    <w:rsid w:val="00E20918"/>
    <w:rsid w:val="00E300EC"/>
    <w:rsid w:val="00E32EEC"/>
    <w:rsid w:val="00E42A33"/>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F1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B70F1B"/>
    <w:pPr>
      <w:keepNext/>
      <w:keepLines/>
      <w:spacing w:before="240"/>
      <w:ind w:left="794"/>
      <w:jc w:val="left"/>
    </w:pPr>
    <w:rPr>
      <w:rFonts w:ascii="STKaiti" w:eastAsia="STKaiti" w:hAnsi="STKaiti"/>
    </w:rPr>
  </w:style>
  <w:style w:type="character" w:customStyle="1" w:styleId="CallChar">
    <w:name w:val="Call Char"/>
    <w:link w:val="Call"/>
    <w:rsid w:val="00B70F1B"/>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B70F1B"/>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qFormat/>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B70F1B"/>
    <w:rPr>
      <w:rFonts w:ascii="Times New Roman" w:hAnsi="Times New Roman"/>
      <w:sz w:val="24"/>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Annextitle">
    <w:name w:val="Annex_title"/>
    <w:basedOn w:val="Normal"/>
    <w:next w:val="Normal"/>
    <w:qFormat/>
    <w:rsid w:val="00772CEB"/>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b/>
      <w:sz w:val="28"/>
      <w:lang w:val="en-GB"/>
    </w:rPr>
  </w:style>
  <w:style w:type="paragraph" w:customStyle="1" w:styleId="Reasons">
    <w:name w:val="Reasons"/>
    <w:basedOn w:val="Normal"/>
    <w:uiPriority w:val="99"/>
    <w:qFormat/>
    <w:rsid w:val="00146C65"/>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paragraph" w:customStyle="1" w:styleId="Normalnoindent">
    <w:name w:val="Normal no indent"/>
    <w:basedOn w:val="Normal"/>
    <w:rsid w:val="00DB0724"/>
    <w:pPr>
      <w:tabs>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146C65"/>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77</TotalTime>
  <Pages>8</Pages>
  <Words>3642</Words>
  <Characters>661</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第18号决议 – 加强国际电联三个部门在共同关心的问题上的协调和合作</vt:lpstr>
    </vt:vector>
  </TitlesOfParts>
  <Company>ITU</Company>
  <LinksUpToDate>false</LinksUpToDate>
  <CharactersWithSpaces>4295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第18号决议 – 加强国际电联三个部门在共同关心的问题上的协调和合作</dc:title>
  <dc:subject>WORLD TELECOMMUNICATION STANDARDIZATION ASSEMBLY - Florianópolis, 5-14 October 2004</dc:subject>
  <dc:creator>ITU-T</dc:creator>
  <cp:keywords>WTSA-24 New Delhi, 15-24 October 2024</cp:keywords>
  <dc:description/>
  <cp:lastModifiedBy>Liu, Sanping</cp:lastModifiedBy>
  <cp:revision>61</cp:revision>
  <cp:lastPrinted>2024-11-27T09:48:00Z</cp:lastPrinted>
  <dcterms:created xsi:type="dcterms:W3CDTF">2024-09-24T12:18:00Z</dcterms:created>
  <dcterms:modified xsi:type="dcterms:W3CDTF">2024-11-27T09:49:00Z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