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56577B" w14:paraId="75C8CDE5" w14:textId="77777777" w:rsidTr="00306452">
        <w:trPr>
          <w:jc w:val="center"/>
        </w:trPr>
        <w:tc>
          <w:tcPr>
            <w:tcW w:w="9889" w:type="dxa"/>
            <w:gridSpan w:val="3"/>
            <w:shd w:val="clear" w:color="auto" w:fill="auto"/>
          </w:tcPr>
          <w:p w14:paraId="46F61DDC" w14:textId="77777777" w:rsidR="00E53DCE" w:rsidRPr="0056577B" w:rsidRDefault="00A96D3A" w:rsidP="006160CB">
            <w:pPr>
              <w:spacing w:before="0"/>
              <w:jc w:val="left"/>
              <w:rPr>
                <w:rFonts w:cstheme="minorHAnsi"/>
                <w:b/>
                <w:bCs/>
                <w:color w:val="808080"/>
                <w:sz w:val="28"/>
                <w:szCs w:val="28"/>
                <w:lang w:val="es-ES_tradnl"/>
              </w:rPr>
            </w:pPr>
            <w:r w:rsidRPr="0056577B">
              <w:rPr>
                <w:rFonts w:cstheme="minorHAnsi"/>
                <w:b/>
                <w:bCs/>
                <w:color w:val="808080"/>
                <w:sz w:val="28"/>
                <w:szCs w:val="28"/>
                <w:lang w:val="es-ES_tradnl"/>
              </w:rPr>
              <w:t>Oficina de Radiocomunicaciones (BR)</w:t>
            </w:r>
          </w:p>
          <w:p w14:paraId="6AE46EB1" w14:textId="77777777" w:rsidR="00E53DCE" w:rsidRPr="0056577B" w:rsidRDefault="00E53DCE" w:rsidP="006160CB">
            <w:pPr>
              <w:spacing w:before="0"/>
              <w:jc w:val="left"/>
              <w:rPr>
                <w:rFonts w:cstheme="minorHAnsi"/>
                <w:b/>
                <w:bCs/>
                <w:color w:val="808080"/>
                <w:sz w:val="28"/>
                <w:szCs w:val="28"/>
                <w:lang w:val="es-ES_tradnl"/>
              </w:rPr>
            </w:pPr>
          </w:p>
          <w:p w14:paraId="58775A1C" w14:textId="77777777" w:rsidR="00E53DCE" w:rsidRPr="0056577B" w:rsidRDefault="00E53DCE" w:rsidP="006160CB">
            <w:pPr>
              <w:spacing w:before="0"/>
              <w:jc w:val="left"/>
              <w:rPr>
                <w:rFonts w:cs="Times New Roman Bold"/>
                <w:b/>
                <w:bCs/>
                <w:color w:val="808080"/>
                <w:sz w:val="28"/>
                <w:szCs w:val="28"/>
                <w:lang w:val="es-ES_tradnl"/>
              </w:rPr>
            </w:pPr>
          </w:p>
        </w:tc>
      </w:tr>
      <w:tr w:rsidR="00E53DCE" w:rsidRPr="0056577B" w14:paraId="7149D227" w14:textId="77777777" w:rsidTr="00306452">
        <w:trPr>
          <w:jc w:val="center"/>
        </w:trPr>
        <w:tc>
          <w:tcPr>
            <w:tcW w:w="7054" w:type="dxa"/>
            <w:gridSpan w:val="2"/>
            <w:shd w:val="clear" w:color="auto" w:fill="auto"/>
          </w:tcPr>
          <w:p w14:paraId="338FAF58" w14:textId="03509259" w:rsidR="00E53DCE" w:rsidRPr="0056577B" w:rsidRDefault="008F4AA3" w:rsidP="006160CB">
            <w:pPr>
              <w:spacing w:before="0"/>
              <w:jc w:val="left"/>
              <w:rPr>
                <w:szCs w:val="24"/>
                <w:lang w:val="es-ES_tradnl"/>
              </w:rPr>
            </w:pPr>
            <w:r w:rsidRPr="0056577B">
              <w:rPr>
                <w:szCs w:val="24"/>
                <w:lang w:val="es-ES_tradnl"/>
              </w:rPr>
              <w:t>Corrigéndum 1 al</w:t>
            </w:r>
            <w:r w:rsidRPr="0056577B">
              <w:rPr>
                <w:szCs w:val="24"/>
                <w:lang w:val="es-ES_tradnl"/>
              </w:rPr>
              <w:br/>
              <w:t xml:space="preserve">Addéndum 1 a la </w:t>
            </w:r>
            <w:r w:rsidRPr="0056577B">
              <w:rPr>
                <w:szCs w:val="24"/>
                <w:lang w:val="es-ES_tradnl"/>
              </w:rPr>
              <w:br/>
            </w:r>
            <w:r w:rsidR="00A96D3A" w:rsidRPr="0056577B">
              <w:rPr>
                <w:szCs w:val="24"/>
                <w:lang w:val="es-ES_tradnl"/>
              </w:rPr>
              <w:t>Circular Administrativa</w:t>
            </w:r>
          </w:p>
          <w:p w14:paraId="2A46A534" w14:textId="6DC4A554" w:rsidR="00E53DCE" w:rsidRPr="0056577B" w:rsidRDefault="008F4AA3" w:rsidP="006160CB">
            <w:pPr>
              <w:spacing w:before="0"/>
              <w:jc w:val="left"/>
              <w:rPr>
                <w:b/>
                <w:bCs/>
                <w:szCs w:val="24"/>
                <w:lang w:val="es-ES_tradnl"/>
              </w:rPr>
            </w:pPr>
            <w:r w:rsidRPr="0056577B">
              <w:rPr>
                <w:b/>
                <w:bCs/>
                <w:szCs w:val="24"/>
                <w:lang w:val="es-ES_tradnl"/>
              </w:rPr>
              <w:t>CA/270</w:t>
            </w:r>
          </w:p>
        </w:tc>
        <w:tc>
          <w:tcPr>
            <w:tcW w:w="2835" w:type="dxa"/>
            <w:shd w:val="clear" w:color="auto" w:fill="auto"/>
          </w:tcPr>
          <w:p w14:paraId="733C7462" w14:textId="4A453B03" w:rsidR="00E53DCE" w:rsidRPr="0056577B" w:rsidRDefault="00D54A11" w:rsidP="006160CB">
            <w:pPr>
              <w:spacing w:before="0"/>
              <w:jc w:val="right"/>
              <w:rPr>
                <w:szCs w:val="24"/>
                <w:lang w:val="es-ES_tradnl"/>
              </w:rPr>
            </w:pPr>
            <w:r w:rsidRPr="0056577B">
              <w:rPr>
                <w:bCs/>
                <w:szCs w:val="24"/>
                <w:lang w:val="es-ES_tradnl"/>
              </w:rPr>
              <w:t>1</w:t>
            </w:r>
            <w:r w:rsidR="0061755E">
              <w:rPr>
                <w:bCs/>
                <w:szCs w:val="24"/>
                <w:lang w:val="es-ES_tradnl"/>
              </w:rPr>
              <w:t>2</w:t>
            </w:r>
            <w:r w:rsidR="008F4AA3" w:rsidRPr="0056577B">
              <w:rPr>
                <w:bCs/>
                <w:szCs w:val="24"/>
                <w:lang w:val="es-ES_tradnl"/>
              </w:rPr>
              <w:t xml:space="preserve"> de diciembre de</w:t>
            </w:r>
            <w:r w:rsidR="00A96D3A" w:rsidRPr="0056577B">
              <w:rPr>
                <w:bCs/>
                <w:szCs w:val="24"/>
                <w:lang w:val="es-ES_tradnl"/>
              </w:rPr>
              <w:t xml:space="preserve"> 20</w:t>
            </w:r>
            <w:r w:rsidR="002B7EE0" w:rsidRPr="0056577B">
              <w:rPr>
                <w:bCs/>
                <w:szCs w:val="24"/>
                <w:lang w:val="es-ES_tradnl"/>
              </w:rPr>
              <w:t>2</w:t>
            </w:r>
            <w:r w:rsidR="00553364" w:rsidRPr="0056577B">
              <w:rPr>
                <w:bCs/>
                <w:szCs w:val="24"/>
                <w:lang w:val="es-ES_tradnl"/>
              </w:rPr>
              <w:t>4</w:t>
            </w:r>
          </w:p>
        </w:tc>
      </w:tr>
      <w:tr w:rsidR="00E53DCE" w:rsidRPr="0056577B" w14:paraId="625253DA" w14:textId="77777777" w:rsidTr="00306452">
        <w:trPr>
          <w:jc w:val="center"/>
        </w:trPr>
        <w:tc>
          <w:tcPr>
            <w:tcW w:w="9889" w:type="dxa"/>
            <w:gridSpan w:val="3"/>
            <w:shd w:val="clear" w:color="auto" w:fill="auto"/>
          </w:tcPr>
          <w:p w14:paraId="1A9BB3ED" w14:textId="77777777" w:rsidR="00E53DCE" w:rsidRPr="0056577B" w:rsidRDefault="00E53DCE" w:rsidP="006160CB">
            <w:pPr>
              <w:spacing w:before="0"/>
              <w:jc w:val="left"/>
              <w:rPr>
                <w:szCs w:val="24"/>
                <w:lang w:val="es-ES_tradnl"/>
              </w:rPr>
            </w:pPr>
          </w:p>
        </w:tc>
      </w:tr>
      <w:tr w:rsidR="008F4AA3" w:rsidRPr="0061755E" w14:paraId="227D460F" w14:textId="77777777" w:rsidTr="00306452">
        <w:trPr>
          <w:jc w:val="center"/>
        </w:trPr>
        <w:tc>
          <w:tcPr>
            <w:tcW w:w="9889" w:type="dxa"/>
            <w:gridSpan w:val="3"/>
            <w:shd w:val="clear" w:color="auto" w:fill="auto"/>
          </w:tcPr>
          <w:p w14:paraId="2564AE3E" w14:textId="732AC478" w:rsidR="008F4AA3" w:rsidRPr="0056577B" w:rsidRDefault="008F4AA3" w:rsidP="008F4AA3">
            <w:pPr>
              <w:spacing w:before="0"/>
              <w:jc w:val="left"/>
              <w:rPr>
                <w:b/>
                <w:bCs/>
                <w:szCs w:val="24"/>
                <w:lang w:val="es-ES_tradnl"/>
              </w:rPr>
            </w:pPr>
            <w:r w:rsidRPr="0056577B">
              <w:rPr>
                <w:b/>
                <w:szCs w:val="24"/>
                <w:lang w:val="es-ES_tradnl"/>
              </w:rPr>
              <w:t>A las Administraciones de los Estados Miembros de la UIT y a los Miembros del Sector de Radiocomunicaciones</w:t>
            </w:r>
          </w:p>
        </w:tc>
      </w:tr>
      <w:tr w:rsidR="00E53DCE" w:rsidRPr="0061755E" w14:paraId="65E282B3" w14:textId="77777777" w:rsidTr="00306452">
        <w:trPr>
          <w:jc w:val="center"/>
        </w:trPr>
        <w:tc>
          <w:tcPr>
            <w:tcW w:w="9889" w:type="dxa"/>
            <w:gridSpan w:val="3"/>
            <w:shd w:val="clear" w:color="auto" w:fill="auto"/>
          </w:tcPr>
          <w:p w14:paraId="4A16C077" w14:textId="77777777" w:rsidR="00E53DCE" w:rsidRPr="0056577B" w:rsidRDefault="00E53DCE" w:rsidP="006160CB">
            <w:pPr>
              <w:spacing w:before="0"/>
              <w:jc w:val="left"/>
              <w:rPr>
                <w:szCs w:val="24"/>
                <w:lang w:val="es-ES_tradnl"/>
              </w:rPr>
            </w:pPr>
          </w:p>
        </w:tc>
      </w:tr>
      <w:tr w:rsidR="00E53DCE" w:rsidRPr="0061755E" w14:paraId="7E4F8C13" w14:textId="77777777" w:rsidTr="00306452">
        <w:trPr>
          <w:jc w:val="center"/>
        </w:trPr>
        <w:tc>
          <w:tcPr>
            <w:tcW w:w="1526" w:type="dxa"/>
            <w:shd w:val="clear" w:color="auto" w:fill="auto"/>
          </w:tcPr>
          <w:p w14:paraId="3DBCF554" w14:textId="77777777" w:rsidR="00E53DCE" w:rsidRPr="0056577B" w:rsidRDefault="00311970" w:rsidP="006160CB">
            <w:pPr>
              <w:tabs>
                <w:tab w:val="clear" w:pos="1588"/>
                <w:tab w:val="left" w:pos="1560"/>
              </w:tabs>
              <w:spacing w:before="0"/>
              <w:jc w:val="left"/>
              <w:rPr>
                <w:szCs w:val="24"/>
                <w:lang w:val="es-ES_tradnl"/>
              </w:rPr>
            </w:pPr>
            <w:r w:rsidRPr="0056577B">
              <w:rPr>
                <w:szCs w:val="24"/>
                <w:lang w:val="es-ES_tradnl"/>
              </w:rPr>
              <w:t>Asunto:</w:t>
            </w:r>
          </w:p>
        </w:tc>
        <w:tc>
          <w:tcPr>
            <w:tcW w:w="8363" w:type="dxa"/>
            <w:gridSpan w:val="2"/>
            <w:vMerge w:val="restart"/>
            <w:shd w:val="clear" w:color="auto" w:fill="auto"/>
          </w:tcPr>
          <w:p w14:paraId="151C6B5D" w14:textId="473ED627" w:rsidR="00E53DCE" w:rsidRPr="0056577B" w:rsidRDefault="008F4AA3" w:rsidP="006160CB">
            <w:pPr>
              <w:tabs>
                <w:tab w:val="clear" w:pos="1588"/>
                <w:tab w:val="left" w:pos="1560"/>
              </w:tabs>
              <w:spacing w:before="0"/>
              <w:rPr>
                <w:b/>
                <w:bCs/>
                <w:szCs w:val="24"/>
                <w:lang w:val="es-ES_tradnl"/>
              </w:rPr>
            </w:pPr>
            <w:r w:rsidRPr="0056577B">
              <w:rPr>
                <w:b/>
                <w:bCs/>
                <w:szCs w:val="24"/>
                <w:lang w:val="es-ES_tradnl"/>
              </w:rPr>
              <w:t>Preparación del proyecto de Informe de la RPC a la CMR-27</w:t>
            </w:r>
          </w:p>
        </w:tc>
      </w:tr>
      <w:tr w:rsidR="00E53DCE" w:rsidRPr="0061755E" w14:paraId="1CC80958" w14:textId="77777777" w:rsidTr="00306452">
        <w:trPr>
          <w:jc w:val="center"/>
        </w:trPr>
        <w:tc>
          <w:tcPr>
            <w:tcW w:w="1526" w:type="dxa"/>
            <w:shd w:val="clear" w:color="auto" w:fill="auto"/>
          </w:tcPr>
          <w:p w14:paraId="4CBDA512" w14:textId="77777777" w:rsidR="00E53DCE" w:rsidRPr="0056577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22727A3C" w14:textId="77777777" w:rsidR="00E53DCE" w:rsidRPr="0056577B" w:rsidRDefault="00E53DCE" w:rsidP="006160CB">
            <w:pPr>
              <w:tabs>
                <w:tab w:val="clear" w:pos="1588"/>
                <w:tab w:val="left" w:pos="1560"/>
              </w:tabs>
              <w:spacing w:before="0"/>
              <w:rPr>
                <w:b/>
                <w:bCs/>
                <w:szCs w:val="24"/>
                <w:lang w:val="es-ES_tradnl"/>
              </w:rPr>
            </w:pPr>
          </w:p>
        </w:tc>
      </w:tr>
      <w:tr w:rsidR="00E53DCE" w:rsidRPr="0061755E" w14:paraId="2E7B5C65" w14:textId="77777777" w:rsidTr="00306452">
        <w:trPr>
          <w:jc w:val="center"/>
        </w:trPr>
        <w:tc>
          <w:tcPr>
            <w:tcW w:w="1526" w:type="dxa"/>
            <w:shd w:val="clear" w:color="auto" w:fill="auto"/>
          </w:tcPr>
          <w:p w14:paraId="411B3BA0" w14:textId="77777777" w:rsidR="00E53DCE" w:rsidRPr="0056577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CCB4DFA" w14:textId="77777777" w:rsidR="00E53DCE" w:rsidRPr="0056577B" w:rsidRDefault="00E53DCE" w:rsidP="006160CB">
            <w:pPr>
              <w:tabs>
                <w:tab w:val="clear" w:pos="1588"/>
                <w:tab w:val="left" w:pos="1560"/>
              </w:tabs>
              <w:spacing w:before="0"/>
              <w:rPr>
                <w:b/>
                <w:bCs/>
                <w:szCs w:val="24"/>
                <w:lang w:val="es-ES_tradnl"/>
              </w:rPr>
            </w:pPr>
          </w:p>
        </w:tc>
      </w:tr>
    </w:tbl>
    <w:p w14:paraId="1D529926" w14:textId="1180E2C5" w:rsidR="00E53DCE" w:rsidRPr="0056577B" w:rsidRDefault="008F4AA3" w:rsidP="00C90C5E">
      <w:pPr>
        <w:pStyle w:val="Normalaftertitle"/>
        <w:spacing w:before="120"/>
        <w:rPr>
          <w:lang w:val="es-ES_tradnl"/>
        </w:rPr>
      </w:pPr>
      <w:r w:rsidRPr="0056577B">
        <w:rPr>
          <w:lang w:val="es-ES_tradnl"/>
        </w:rPr>
        <w:t xml:space="preserve">Durante la reunión de la Comisión de Dirección de la RPC-27, celebrada el 24 de junio de 2024, se acordó programar otra reunión de dicha Comisión el 3 de diciembre de 2024, a fin de considerar la información que pudiera emanar de las reuniones que los Grupos de Trabajo </w:t>
      </w:r>
      <w:r w:rsidR="00726249" w:rsidRPr="0056577B">
        <w:rPr>
          <w:lang w:val="es-ES_tradnl"/>
        </w:rPr>
        <w:t xml:space="preserve">(GT) </w:t>
      </w:r>
      <w:r w:rsidRPr="0056577B">
        <w:rPr>
          <w:lang w:val="es-ES_tradnl"/>
        </w:rPr>
        <w:t>del UIT-R habían previsto celebrar entre septiembre y noviembre de 2024 en relación con:</w:t>
      </w:r>
    </w:p>
    <w:p w14:paraId="42CB8996" w14:textId="7E2176CA" w:rsidR="008F4AA3" w:rsidRPr="0056577B" w:rsidRDefault="008F4AA3" w:rsidP="008F4AA3">
      <w:pPr>
        <w:pStyle w:val="enumlev1"/>
        <w:rPr>
          <w:lang w:val="es-ES_tradnl"/>
        </w:rPr>
      </w:pPr>
      <w:r w:rsidRPr="0056577B">
        <w:rPr>
          <w:lang w:val="es-ES_tradnl"/>
        </w:rPr>
        <w:t>–</w:t>
      </w:r>
      <w:r w:rsidRPr="0056577B">
        <w:rPr>
          <w:lang w:val="es-ES_tradnl"/>
        </w:rPr>
        <w:tab/>
        <w:t xml:space="preserve">cualquier posible enmienda nueva a la lista de </w:t>
      </w:r>
      <w:r w:rsidR="00726249" w:rsidRPr="0056577B">
        <w:rPr>
          <w:lang w:val="es-ES_tradnl"/>
        </w:rPr>
        <w:t>GT</w:t>
      </w:r>
      <w:r w:rsidRPr="0056577B">
        <w:rPr>
          <w:lang w:val="es-ES_tradnl"/>
        </w:rPr>
        <w:t xml:space="preserve"> que contribuyen a los trabajos preparatorios del UIT-R para la CMR-27 y/o la CMR-31;</w:t>
      </w:r>
    </w:p>
    <w:p w14:paraId="04CA103D" w14:textId="56A7C2CA" w:rsidR="00D21694" w:rsidRPr="0056577B" w:rsidRDefault="008F4AA3" w:rsidP="008F4AA3">
      <w:pPr>
        <w:pStyle w:val="enumlev1"/>
        <w:rPr>
          <w:rFonts w:asciiTheme="minorHAnsi" w:hAnsiTheme="minorHAnsi" w:cstheme="minorHAnsi"/>
          <w:lang w:val="es-ES_tradnl"/>
        </w:rPr>
      </w:pPr>
      <w:r w:rsidRPr="0056577B">
        <w:rPr>
          <w:lang w:val="es-ES_tradnl"/>
        </w:rPr>
        <w:t>–</w:t>
      </w:r>
      <w:r w:rsidRPr="0056577B">
        <w:rPr>
          <w:lang w:val="es-ES_tradnl"/>
        </w:rPr>
        <w:tab/>
        <w:t>cualquier posible solicitud justificada de un Grupo de Trabajo del UIT-R interesado en obtener una prórroga del plazo que expira el 31 de diciembre de 2024 para la finalización, antes del 1 de julio de 2025, de los nuevos textos relativos a los criterios, características y metodologías para los estudios preparatorios de la CMR-27 (véase la Sección</w:t>
      </w:r>
      <w:r w:rsidR="00D54A11" w:rsidRPr="0056577B">
        <w:rPr>
          <w:lang w:val="es-ES_tradnl"/>
        </w:rPr>
        <w:t> </w:t>
      </w:r>
      <w:r w:rsidRPr="0056577B">
        <w:rPr>
          <w:lang w:val="es-ES_tradnl"/>
        </w:rPr>
        <w:t>2.2 del Anexo</w:t>
      </w:r>
      <w:r w:rsidR="00D54A11" w:rsidRPr="0056577B">
        <w:rPr>
          <w:lang w:val="es-ES_tradnl"/>
        </w:rPr>
        <w:t> </w:t>
      </w:r>
      <w:r w:rsidRPr="0056577B">
        <w:rPr>
          <w:lang w:val="es-ES_tradnl"/>
        </w:rPr>
        <w:t>4 a la Circular CA/270).</w:t>
      </w:r>
    </w:p>
    <w:p w14:paraId="56DDA7EF" w14:textId="1E2B2029" w:rsidR="002A5DD7" w:rsidRPr="0056577B" w:rsidRDefault="008F4AA3" w:rsidP="00031E64">
      <w:pPr>
        <w:rPr>
          <w:rFonts w:asciiTheme="minorHAnsi" w:hAnsiTheme="minorHAnsi" w:cstheme="minorHAnsi"/>
          <w:szCs w:val="24"/>
          <w:lang w:val="es-ES_tradnl"/>
        </w:rPr>
      </w:pPr>
      <w:r w:rsidRPr="0056577B">
        <w:rPr>
          <w:szCs w:val="24"/>
          <w:lang w:val="es-ES_tradnl"/>
        </w:rPr>
        <w:t>La Comisión de Dirección de la RPC-27 se reunió el 3 de diciembre de 2024 para examinar la información recibida de los Presidentes o Presidentes en funciones de la Comisión de Estudio</w:t>
      </w:r>
      <w:r w:rsidR="0056577B">
        <w:rPr>
          <w:szCs w:val="24"/>
          <w:lang w:val="es-ES_tradnl"/>
        </w:rPr>
        <w:t xml:space="preserve"> </w:t>
      </w:r>
      <w:r w:rsidR="00726249" w:rsidRPr="0056577B">
        <w:rPr>
          <w:szCs w:val="24"/>
          <w:lang w:val="es-ES_tradnl"/>
        </w:rPr>
        <w:t>(CE)</w:t>
      </w:r>
      <w:r w:rsidR="00D54A11" w:rsidRPr="0056577B">
        <w:rPr>
          <w:szCs w:val="24"/>
          <w:lang w:val="es-ES_tradnl"/>
        </w:rPr>
        <w:t> </w:t>
      </w:r>
      <w:r w:rsidRPr="0056577B">
        <w:rPr>
          <w:szCs w:val="24"/>
          <w:lang w:val="es-ES_tradnl"/>
        </w:rPr>
        <w:t xml:space="preserve">5 y de los </w:t>
      </w:r>
      <w:r w:rsidR="00726249" w:rsidRPr="0056577B">
        <w:rPr>
          <w:szCs w:val="24"/>
          <w:lang w:val="es-ES_tradnl"/>
        </w:rPr>
        <w:t>GT </w:t>
      </w:r>
      <w:r w:rsidRPr="0056577B">
        <w:rPr>
          <w:szCs w:val="24"/>
          <w:lang w:val="es-ES_tradnl"/>
        </w:rPr>
        <w:t>4A, 4C, 5B, 5D, 7B, 7C y 7D del UIT-R en relación con las cuestiones antes mencionadas. También se invitó a asistir a esta reunión a los demás miembros del Equipo Directivo de la RPC-27, es decir, a los Presidentes de las Comisiones de Estudio y los Grupos responsables del</w:t>
      </w:r>
      <w:r w:rsidR="00D54A11" w:rsidRPr="0056577B">
        <w:rPr>
          <w:szCs w:val="24"/>
          <w:lang w:val="es-ES_tradnl"/>
        </w:rPr>
        <w:t> </w:t>
      </w:r>
      <w:r w:rsidRPr="0056577B">
        <w:rPr>
          <w:szCs w:val="24"/>
          <w:lang w:val="es-ES_tradnl"/>
        </w:rPr>
        <w:t>UIT</w:t>
      </w:r>
      <w:r w:rsidR="00D54A11" w:rsidRPr="0056577B">
        <w:rPr>
          <w:szCs w:val="24"/>
          <w:lang w:val="es-ES_tradnl"/>
        </w:rPr>
        <w:noBreakHyphen/>
      </w:r>
      <w:r w:rsidRPr="0056577B">
        <w:rPr>
          <w:szCs w:val="24"/>
          <w:lang w:val="es-ES_tradnl"/>
        </w:rPr>
        <w:t>R.</w:t>
      </w:r>
    </w:p>
    <w:p w14:paraId="1080695F" w14:textId="7CE054E9" w:rsidR="00FE4822" w:rsidRPr="0056577B" w:rsidRDefault="008F4AA3" w:rsidP="00031E64">
      <w:pPr>
        <w:rPr>
          <w:rFonts w:asciiTheme="minorHAnsi" w:hAnsiTheme="minorHAnsi" w:cstheme="minorHAnsi"/>
          <w:szCs w:val="24"/>
          <w:lang w:val="es-ES_tradnl"/>
        </w:rPr>
      </w:pPr>
      <w:r w:rsidRPr="0056577B">
        <w:rPr>
          <w:szCs w:val="24"/>
          <w:lang w:val="es-ES_tradnl"/>
        </w:rPr>
        <w:t>Las conclusiones de la citada reunión figuran en el Anexo al presente Corrigéndum</w:t>
      </w:r>
      <w:r w:rsidR="00D54A11" w:rsidRPr="0056577B">
        <w:rPr>
          <w:szCs w:val="24"/>
          <w:lang w:val="es-ES_tradnl"/>
        </w:rPr>
        <w:t> </w:t>
      </w:r>
      <w:r w:rsidRPr="0056577B">
        <w:rPr>
          <w:szCs w:val="24"/>
          <w:lang w:val="es-ES_tradnl"/>
        </w:rPr>
        <w:t>1 al Addéndum</w:t>
      </w:r>
      <w:r w:rsidR="00D54A11" w:rsidRPr="0056577B">
        <w:rPr>
          <w:szCs w:val="24"/>
          <w:lang w:val="es-ES_tradnl"/>
        </w:rPr>
        <w:t> </w:t>
      </w:r>
      <w:r w:rsidRPr="0056577B">
        <w:rPr>
          <w:szCs w:val="24"/>
          <w:lang w:val="es-ES_tradnl"/>
        </w:rPr>
        <w:t>1 a la Circular Administrativa CA/270.</w:t>
      </w:r>
    </w:p>
    <w:p w14:paraId="29572A6B" w14:textId="1784303D" w:rsidR="00FE4822" w:rsidRPr="0056577B" w:rsidRDefault="008F4AA3" w:rsidP="00031E64">
      <w:pPr>
        <w:rPr>
          <w:rFonts w:asciiTheme="minorHAnsi" w:hAnsiTheme="minorHAnsi" w:cstheme="minorHAnsi"/>
          <w:szCs w:val="24"/>
          <w:lang w:val="es-ES_tradnl"/>
        </w:rPr>
      </w:pPr>
      <w:r w:rsidRPr="0056577B">
        <w:rPr>
          <w:szCs w:val="24"/>
          <w:lang w:val="es-ES_tradnl"/>
        </w:rPr>
        <w:t>La propuesta de estructura detallada del proyecto de Informe de la RPC a la CMR</w:t>
      </w:r>
      <w:r w:rsidRPr="0056577B">
        <w:rPr>
          <w:szCs w:val="24"/>
          <w:lang w:val="es-ES_tradnl"/>
        </w:rPr>
        <w:noBreakHyphen/>
        <w:t>27 se ha revisado en consecuencia y puede consultarse en la siguiente dirección web de la UIT:</w:t>
      </w:r>
      <w:r w:rsidRPr="0056577B">
        <w:rPr>
          <w:rFonts w:ascii="Times New Roman" w:hAnsi="Times New Roman" w:cs="Times New Roman"/>
          <w:szCs w:val="24"/>
          <w:lang w:val="es-ES_tradnl" w:eastAsia="en-GB"/>
        </w:rPr>
        <w:t xml:space="preserve"> </w:t>
      </w:r>
      <w:hyperlink r:id="rId8" w:history="1">
        <w:r w:rsidRPr="0056577B">
          <w:rPr>
            <w:rStyle w:val="Hyperlink"/>
            <w:szCs w:val="24"/>
            <w:lang w:val="es-ES_tradnl"/>
          </w:rPr>
          <w:t>www.itu.int/oth/R0A0A000023/en</w:t>
        </w:r>
      </w:hyperlink>
      <w:r w:rsidRPr="0056577B">
        <w:rPr>
          <w:szCs w:val="24"/>
          <w:lang w:val="es-ES_tradnl"/>
        </w:rPr>
        <w:t>. También puede encontrarse información detallada y actualizada sobre los estudios preparatorios del UIT-R para los distintos puntos del orden del día de la CMR</w:t>
      </w:r>
      <w:r w:rsidR="00D54A11" w:rsidRPr="0056577B">
        <w:rPr>
          <w:szCs w:val="24"/>
          <w:lang w:val="es-ES_tradnl"/>
        </w:rPr>
        <w:t> </w:t>
      </w:r>
      <w:r w:rsidRPr="0056577B">
        <w:rPr>
          <w:szCs w:val="24"/>
          <w:lang w:val="es-ES_tradnl"/>
        </w:rPr>
        <w:t xml:space="preserve">27 en la siguiente página web de la UIT: </w:t>
      </w:r>
      <w:hyperlink r:id="rId9" w:history="1">
        <w:r w:rsidRPr="0056577B">
          <w:rPr>
            <w:rStyle w:val="Hyperlink"/>
            <w:szCs w:val="24"/>
            <w:lang w:val="es-ES_tradnl"/>
          </w:rPr>
          <w:t>www.itu.int/go/rcpm-wrc-27-studies</w:t>
        </w:r>
      </w:hyperlink>
      <w:r w:rsidRPr="0056577B">
        <w:rPr>
          <w:szCs w:val="24"/>
          <w:lang w:val="es-ES_tradnl"/>
        </w:rPr>
        <w:t>.</w:t>
      </w:r>
    </w:p>
    <w:p w14:paraId="08721755" w14:textId="1DF25B48" w:rsidR="00031E64" w:rsidRPr="0056577B" w:rsidRDefault="001B3D4D" w:rsidP="008F4AA3">
      <w:pPr>
        <w:spacing w:before="1200" w:line="240" w:lineRule="auto"/>
        <w:jc w:val="left"/>
        <w:rPr>
          <w:szCs w:val="24"/>
          <w:lang w:val="es-ES_tradnl"/>
        </w:rPr>
      </w:pPr>
      <w:r w:rsidRPr="0056577B">
        <w:rPr>
          <w:rFonts w:asciiTheme="minorHAnsi" w:hAnsiTheme="minorHAnsi" w:cstheme="minorHAnsi"/>
          <w:lang w:val="es-ES_tradnl"/>
        </w:rPr>
        <w:t>Mario Maniewicz</w:t>
      </w:r>
      <w:r w:rsidR="00E53DCE" w:rsidRPr="0056577B">
        <w:rPr>
          <w:szCs w:val="24"/>
          <w:lang w:val="es-ES_tradnl"/>
        </w:rPr>
        <w:br/>
      </w:r>
      <w:r w:rsidR="00A96D3A" w:rsidRPr="0056577B">
        <w:rPr>
          <w:szCs w:val="24"/>
          <w:lang w:val="es-ES_tradnl"/>
        </w:rPr>
        <w:t>Director</w:t>
      </w:r>
    </w:p>
    <w:p w14:paraId="6FC1DE75" w14:textId="190B4705" w:rsidR="008F4AA3" w:rsidRPr="0056577B" w:rsidRDefault="008F4AA3" w:rsidP="00C90C5E">
      <w:pPr>
        <w:spacing w:before="240" w:line="240" w:lineRule="auto"/>
        <w:ind w:left="1191" w:hanging="1191"/>
        <w:jc w:val="left"/>
        <w:rPr>
          <w:rFonts w:asciiTheme="minorHAnsi" w:hAnsiTheme="minorHAnsi" w:cstheme="minorHAnsi"/>
          <w:szCs w:val="24"/>
          <w:lang w:val="es-ES_tradnl"/>
        </w:rPr>
      </w:pPr>
      <w:r w:rsidRPr="0056577B">
        <w:rPr>
          <w:b/>
          <w:bCs/>
          <w:szCs w:val="24"/>
          <w:lang w:val="es-ES_tradnl"/>
        </w:rPr>
        <w:t>Anexo:</w:t>
      </w:r>
      <w:r w:rsidRPr="0056577B">
        <w:rPr>
          <w:b/>
          <w:bCs/>
          <w:szCs w:val="24"/>
          <w:lang w:val="es-ES_tradnl"/>
        </w:rPr>
        <w:tab/>
      </w:r>
      <w:r w:rsidR="00C90C5E">
        <w:rPr>
          <w:b/>
          <w:bCs/>
          <w:szCs w:val="24"/>
          <w:lang w:val="es-ES_tradnl"/>
        </w:rPr>
        <w:tab/>
      </w:r>
      <w:r w:rsidRPr="0056577B">
        <w:rPr>
          <w:szCs w:val="24"/>
          <w:lang w:val="es-ES_tradnl"/>
        </w:rPr>
        <w:t>Conclusiones de la reunión de la Comisión de Dirección de la RPC-27 celebrada el 3 de diciembre de 2024 (incluidas la nueva modificación de la atribución de los trabajos preparatorios del UIT</w:t>
      </w:r>
      <w:r w:rsidR="00D54A11" w:rsidRPr="0056577B">
        <w:rPr>
          <w:szCs w:val="24"/>
          <w:lang w:val="es-ES_tradnl"/>
        </w:rPr>
        <w:noBreakHyphen/>
      </w:r>
      <w:r w:rsidRPr="0056577B">
        <w:rPr>
          <w:szCs w:val="24"/>
          <w:lang w:val="es-ES_tradnl"/>
        </w:rPr>
        <w:t>R para la CMR</w:t>
      </w:r>
      <w:r w:rsidRPr="0056577B">
        <w:rPr>
          <w:szCs w:val="24"/>
          <w:lang w:val="es-ES_tradnl"/>
        </w:rPr>
        <w:noBreakHyphen/>
        <w:t>27)</w:t>
      </w:r>
      <w:r w:rsidRPr="0056577B">
        <w:rPr>
          <w:rFonts w:asciiTheme="minorHAnsi" w:hAnsiTheme="minorHAnsi" w:cstheme="minorHAnsi"/>
          <w:szCs w:val="24"/>
          <w:lang w:val="es-ES_tradnl"/>
        </w:rPr>
        <w:br w:type="page"/>
      </w:r>
    </w:p>
    <w:p w14:paraId="30B0045D" w14:textId="3904D933" w:rsidR="008F4AA3" w:rsidRPr="0056577B" w:rsidRDefault="008F4AA3" w:rsidP="00D54A11">
      <w:pPr>
        <w:pStyle w:val="AnnexNotitle0"/>
        <w:rPr>
          <w:rFonts w:asciiTheme="minorHAnsi" w:hAnsiTheme="minorHAnsi" w:cstheme="minorHAnsi"/>
          <w:lang w:val="es-ES_tradnl"/>
        </w:rPr>
      </w:pPr>
      <w:r w:rsidRPr="0056577B">
        <w:rPr>
          <w:rFonts w:asciiTheme="minorHAnsi" w:hAnsiTheme="minorHAnsi" w:cstheme="minorHAnsi"/>
          <w:lang w:val="es-ES_tradnl"/>
        </w:rPr>
        <w:lastRenderedPageBreak/>
        <w:t>Anexo</w:t>
      </w:r>
      <w:r w:rsidRPr="0056577B">
        <w:rPr>
          <w:rFonts w:asciiTheme="minorHAnsi" w:hAnsiTheme="minorHAnsi" w:cstheme="minorHAnsi"/>
          <w:lang w:val="es-ES_tradnl"/>
        </w:rPr>
        <w:br/>
      </w:r>
      <w:r w:rsidRPr="0056577B">
        <w:rPr>
          <w:rFonts w:asciiTheme="minorHAnsi" w:hAnsiTheme="minorHAnsi" w:cstheme="minorHAnsi"/>
          <w:lang w:val="es-ES_tradnl"/>
        </w:rPr>
        <w:br/>
        <w:t xml:space="preserve">Conclusiones de la reunión de la Comisión de Dirección de la RPC-27 </w:t>
      </w:r>
      <w:r w:rsidR="00D54A11" w:rsidRPr="0056577B">
        <w:rPr>
          <w:rFonts w:asciiTheme="minorHAnsi" w:hAnsiTheme="minorHAnsi" w:cstheme="minorHAnsi"/>
          <w:lang w:val="es-ES_tradnl"/>
        </w:rPr>
        <w:br/>
      </w:r>
      <w:r w:rsidRPr="0056577B">
        <w:rPr>
          <w:rFonts w:asciiTheme="minorHAnsi" w:hAnsiTheme="minorHAnsi" w:cstheme="minorHAnsi"/>
          <w:lang w:val="es-ES_tradnl"/>
        </w:rPr>
        <w:t>celebrada el 3 de diciembre de 2024</w:t>
      </w:r>
    </w:p>
    <w:p w14:paraId="6BA43BE6" w14:textId="1A663E28" w:rsidR="008F4AA3" w:rsidRPr="0056577B" w:rsidRDefault="008F4AA3" w:rsidP="004C230A">
      <w:pPr>
        <w:pStyle w:val="Heading1"/>
        <w:rPr>
          <w:lang w:val="es-ES_tradnl"/>
        </w:rPr>
      </w:pPr>
      <w:r w:rsidRPr="0056577B">
        <w:rPr>
          <w:lang w:val="es-ES_tradnl"/>
        </w:rPr>
        <w:t>1</w:t>
      </w:r>
      <w:r w:rsidRPr="0056577B">
        <w:rPr>
          <w:lang w:val="es-ES_tradnl"/>
        </w:rPr>
        <w:tab/>
        <w:t>Fecha límite para la presentación de materiales sobre criterios, características y metodologías para los estudios preparatorios de la CMR-27 (véase el Anexo</w:t>
      </w:r>
      <w:r w:rsidR="00213AFF" w:rsidRPr="0056577B">
        <w:rPr>
          <w:lang w:val="es-ES_tradnl"/>
        </w:rPr>
        <w:t> </w:t>
      </w:r>
      <w:r w:rsidRPr="0056577B">
        <w:rPr>
          <w:lang w:val="es-ES_tradnl"/>
        </w:rPr>
        <w:t>4 a la Circular</w:t>
      </w:r>
      <w:r w:rsidR="00C90C5E">
        <w:rPr>
          <w:lang w:val="es-ES_tradnl"/>
        </w:rPr>
        <w:t> </w:t>
      </w:r>
      <w:hyperlink r:id="rId10" w:history="1">
        <w:r w:rsidRPr="0056577B">
          <w:rPr>
            <w:rStyle w:val="Hyperlink"/>
            <w:szCs w:val="24"/>
            <w:lang w:val="es-ES_tradnl"/>
          </w:rPr>
          <w:t>CA/270</w:t>
        </w:r>
      </w:hyperlink>
      <w:r w:rsidRPr="0056577B">
        <w:rPr>
          <w:lang w:val="es-ES_tradnl"/>
        </w:rPr>
        <w:t>)</w:t>
      </w:r>
    </w:p>
    <w:p w14:paraId="169AD7C6" w14:textId="704C7871" w:rsidR="008F4AA3" w:rsidRPr="0056577B" w:rsidRDefault="008F4AA3" w:rsidP="008F4AA3">
      <w:pPr>
        <w:rPr>
          <w:szCs w:val="24"/>
          <w:lang w:val="es-ES_tradnl"/>
        </w:rPr>
      </w:pPr>
      <w:r w:rsidRPr="0056577B">
        <w:rPr>
          <w:szCs w:val="24"/>
          <w:lang w:val="es-ES_tradnl"/>
        </w:rPr>
        <w:t xml:space="preserve">La Comisión de Dirección de la RPC-27 examinó la información facilitada por los Presidentes o Presidentes en funciones de la </w:t>
      </w:r>
      <w:r w:rsidR="00726249" w:rsidRPr="0056577B">
        <w:rPr>
          <w:szCs w:val="24"/>
          <w:lang w:val="es-ES_tradnl"/>
        </w:rPr>
        <w:t>CE </w:t>
      </w:r>
      <w:r w:rsidRPr="0056577B">
        <w:rPr>
          <w:szCs w:val="24"/>
          <w:lang w:val="es-ES_tradnl"/>
        </w:rPr>
        <w:t>5 y de los GT</w:t>
      </w:r>
      <w:r w:rsidR="00726249" w:rsidRPr="0056577B">
        <w:rPr>
          <w:szCs w:val="24"/>
          <w:lang w:val="es-ES_tradnl"/>
        </w:rPr>
        <w:t> </w:t>
      </w:r>
      <w:r w:rsidRPr="0056577B">
        <w:rPr>
          <w:szCs w:val="24"/>
          <w:lang w:val="es-ES_tradnl"/>
        </w:rPr>
        <w:t>4A, 4C, 5B, 5D y 7D, en relación con el plazo establecido a efectos de la presentación de materiales sobre criterios, características y metodologías para los estudios preparatorios enmarcados en los puntos</w:t>
      </w:r>
      <w:r w:rsidR="00213AFF" w:rsidRPr="0056577B">
        <w:rPr>
          <w:szCs w:val="24"/>
          <w:lang w:val="es-ES_tradnl"/>
        </w:rPr>
        <w:t> </w:t>
      </w:r>
      <w:r w:rsidRPr="0056577B">
        <w:rPr>
          <w:szCs w:val="24"/>
          <w:lang w:val="es-ES_tradnl"/>
        </w:rPr>
        <w:t>1.2, 1.7, 1.16 y 1.19 del orden del día de la CMR-27, que expiraba el 31 de diciembre de 2024, y llegó a las siguientes conclusiones:</w:t>
      </w:r>
    </w:p>
    <w:p w14:paraId="4D548C17" w14:textId="57614554" w:rsidR="008F4AA3" w:rsidRPr="0056577B" w:rsidRDefault="008F4AA3" w:rsidP="008F4AA3">
      <w:pPr>
        <w:pStyle w:val="enumlev1"/>
        <w:rPr>
          <w:szCs w:val="24"/>
          <w:lang w:val="es-ES_tradnl"/>
        </w:rPr>
      </w:pPr>
      <w:r w:rsidRPr="0056577B">
        <w:rPr>
          <w:szCs w:val="24"/>
          <w:lang w:val="es-ES_tradnl"/>
        </w:rPr>
        <w:t>–</w:t>
      </w:r>
      <w:r w:rsidRPr="0056577B">
        <w:rPr>
          <w:szCs w:val="24"/>
          <w:lang w:val="es-ES_tradnl"/>
        </w:rPr>
        <w:tab/>
        <w:t>con respecto al punto 1.2 del orden del día de la CMR-27, la Comisión de Dirección de la RPC</w:t>
      </w:r>
      <w:r w:rsidR="00213AFF" w:rsidRPr="0056577B">
        <w:rPr>
          <w:szCs w:val="24"/>
          <w:lang w:val="es-ES_tradnl"/>
        </w:rPr>
        <w:noBreakHyphen/>
      </w:r>
      <w:r w:rsidRPr="0056577B">
        <w:rPr>
          <w:szCs w:val="24"/>
          <w:lang w:val="es-ES_tradnl"/>
        </w:rPr>
        <w:t>27 accedió a las solicitudes formuladas por el Presidente de la</w:t>
      </w:r>
      <w:r w:rsidR="00726249" w:rsidRPr="0056577B">
        <w:rPr>
          <w:szCs w:val="24"/>
          <w:lang w:val="es-ES_tradnl"/>
        </w:rPr>
        <w:t xml:space="preserve"> </w:t>
      </w:r>
      <w:r w:rsidRPr="0056577B">
        <w:rPr>
          <w:szCs w:val="24"/>
          <w:lang w:val="es-ES_tradnl"/>
        </w:rPr>
        <w:t>CE</w:t>
      </w:r>
      <w:r w:rsidR="004C230A" w:rsidRPr="0056577B">
        <w:rPr>
          <w:szCs w:val="24"/>
          <w:lang w:val="es-ES_tradnl"/>
        </w:rPr>
        <w:t> </w:t>
      </w:r>
      <w:r w:rsidRPr="0056577B">
        <w:rPr>
          <w:szCs w:val="24"/>
          <w:lang w:val="es-ES_tradnl"/>
        </w:rPr>
        <w:t>5, conforme a lo acordado durante la reunión de la CE 5 los días 2 y 3 de diciembre de</w:t>
      </w:r>
      <w:r w:rsidR="004C230A" w:rsidRPr="0056577B">
        <w:rPr>
          <w:szCs w:val="24"/>
          <w:lang w:val="es-ES_tradnl"/>
        </w:rPr>
        <w:t> </w:t>
      </w:r>
      <w:r w:rsidRPr="0056577B">
        <w:rPr>
          <w:szCs w:val="24"/>
          <w:lang w:val="es-ES_tradnl"/>
        </w:rPr>
        <w:t>2024, así como en nombre del GT 5B, y prorrogó el plazo para el envío de materiales al GT 4A;</w:t>
      </w:r>
    </w:p>
    <w:p w14:paraId="3F8F1AEF" w14:textId="00A93E51" w:rsidR="008F4AA3" w:rsidRPr="0056577B" w:rsidRDefault="008F4AA3" w:rsidP="008F4AA3">
      <w:pPr>
        <w:pStyle w:val="enumlev1"/>
        <w:rPr>
          <w:szCs w:val="24"/>
          <w:lang w:val="es-ES_tradnl"/>
        </w:rPr>
      </w:pPr>
      <w:r w:rsidRPr="0056577B">
        <w:rPr>
          <w:szCs w:val="24"/>
          <w:lang w:val="es-ES_tradnl"/>
        </w:rPr>
        <w:t>–</w:t>
      </w:r>
      <w:r w:rsidRPr="0056577B">
        <w:rPr>
          <w:szCs w:val="24"/>
          <w:lang w:val="es-ES_tradnl"/>
        </w:rPr>
        <w:tab/>
        <w:t>con respecto al punto 1.7 del orden del día de la CMR-27, la Comisión de Dirección de la RPC</w:t>
      </w:r>
      <w:r w:rsidR="00213AFF" w:rsidRPr="0056577B">
        <w:rPr>
          <w:szCs w:val="24"/>
          <w:lang w:val="es-ES_tradnl"/>
        </w:rPr>
        <w:noBreakHyphen/>
      </w:r>
      <w:r w:rsidRPr="0056577B">
        <w:rPr>
          <w:szCs w:val="24"/>
          <w:lang w:val="es-ES_tradnl"/>
        </w:rPr>
        <w:t>27 tomó nota de la información facilitada por el GT</w:t>
      </w:r>
      <w:r w:rsidR="004C230A" w:rsidRPr="0056577B">
        <w:rPr>
          <w:szCs w:val="24"/>
          <w:lang w:val="es-ES_tradnl"/>
        </w:rPr>
        <w:t> </w:t>
      </w:r>
      <w:r w:rsidRPr="0056577B">
        <w:rPr>
          <w:szCs w:val="24"/>
          <w:lang w:val="es-ES_tradnl"/>
        </w:rPr>
        <w:t>5D y accedió a las solicitudes formuladas por los GT</w:t>
      </w:r>
      <w:r w:rsidR="004C230A" w:rsidRPr="0056577B">
        <w:rPr>
          <w:szCs w:val="24"/>
          <w:lang w:val="es-ES_tradnl"/>
        </w:rPr>
        <w:t> </w:t>
      </w:r>
      <w:r w:rsidRPr="0056577B">
        <w:rPr>
          <w:szCs w:val="24"/>
          <w:lang w:val="es-ES_tradnl"/>
        </w:rPr>
        <w:t>4A, 4C y 5B con miras a la prórroga del plazo para el envío de materiales al GT</w:t>
      </w:r>
      <w:r w:rsidR="004C230A" w:rsidRPr="0056577B">
        <w:rPr>
          <w:szCs w:val="24"/>
          <w:lang w:val="es-ES_tradnl"/>
        </w:rPr>
        <w:t> </w:t>
      </w:r>
      <w:r w:rsidRPr="0056577B">
        <w:rPr>
          <w:szCs w:val="24"/>
          <w:lang w:val="es-ES_tradnl"/>
        </w:rPr>
        <w:t>5D;</w:t>
      </w:r>
    </w:p>
    <w:p w14:paraId="70090EB9" w14:textId="17D5A792" w:rsidR="008F4AA3" w:rsidRPr="0056577B" w:rsidRDefault="008F4AA3" w:rsidP="008F4AA3">
      <w:pPr>
        <w:pStyle w:val="enumlev1"/>
        <w:rPr>
          <w:szCs w:val="24"/>
          <w:lang w:val="es-ES_tradnl"/>
        </w:rPr>
      </w:pPr>
      <w:r w:rsidRPr="0056577B">
        <w:rPr>
          <w:szCs w:val="24"/>
          <w:lang w:val="es-ES_tradnl"/>
        </w:rPr>
        <w:t>–</w:t>
      </w:r>
      <w:r w:rsidRPr="0056577B">
        <w:rPr>
          <w:szCs w:val="24"/>
          <w:lang w:val="es-ES_tradnl"/>
        </w:rPr>
        <w:tab/>
        <w:t>con respecto al punto 1.16 del orden del día de la CMR-27, la Comisión de Dirección de la RPC</w:t>
      </w:r>
      <w:r w:rsidR="00213AFF" w:rsidRPr="0056577B">
        <w:rPr>
          <w:szCs w:val="24"/>
          <w:lang w:val="es-ES_tradnl"/>
        </w:rPr>
        <w:noBreakHyphen/>
      </w:r>
      <w:r w:rsidRPr="0056577B">
        <w:rPr>
          <w:szCs w:val="24"/>
          <w:lang w:val="es-ES_tradnl"/>
        </w:rPr>
        <w:t>27 accedió a la solicitud del GT</w:t>
      </w:r>
      <w:r w:rsidR="004C230A" w:rsidRPr="0056577B">
        <w:rPr>
          <w:szCs w:val="24"/>
          <w:lang w:val="es-ES_tradnl"/>
        </w:rPr>
        <w:t> </w:t>
      </w:r>
      <w:r w:rsidRPr="0056577B">
        <w:rPr>
          <w:szCs w:val="24"/>
          <w:lang w:val="es-ES_tradnl"/>
        </w:rPr>
        <w:t>7D y prorrogó el plazo para el intercambio de información con los GT</w:t>
      </w:r>
      <w:r w:rsidR="004C230A" w:rsidRPr="0056577B">
        <w:rPr>
          <w:szCs w:val="24"/>
          <w:lang w:val="es-ES_tradnl"/>
        </w:rPr>
        <w:t> </w:t>
      </w:r>
      <w:r w:rsidRPr="0056577B">
        <w:rPr>
          <w:szCs w:val="24"/>
          <w:lang w:val="es-ES_tradnl"/>
        </w:rPr>
        <w:t>4A y 4C; y</w:t>
      </w:r>
    </w:p>
    <w:p w14:paraId="2686CF7C" w14:textId="4E4364E3" w:rsidR="008F4AA3" w:rsidRPr="0056577B" w:rsidRDefault="008F4AA3" w:rsidP="008F4AA3">
      <w:pPr>
        <w:pStyle w:val="enumlev1"/>
        <w:rPr>
          <w:szCs w:val="24"/>
          <w:lang w:val="es-ES_tradnl"/>
        </w:rPr>
      </w:pPr>
      <w:r w:rsidRPr="0056577B">
        <w:rPr>
          <w:szCs w:val="24"/>
          <w:lang w:val="es-ES_tradnl"/>
        </w:rPr>
        <w:t>–</w:t>
      </w:r>
      <w:r w:rsidRPr="0056577B">
        <w:rPr>
          <w:szCs w:val="24"/>
          <w:lang w:val="es-ES_tradnl"/>
        </w:rPr>
        <w:tab/>
        <w:t>con respecto al punto 1.19 del orden del día de la CMR-27, la Comisión de Dirección de la RPC</w:t>
      </w:r>
      <w:r w:rsidR="00912398" w:rsidRPr="0056577B">
        <w:rPr>
          <w:szCs w:val="24"/>
          <w:lang w:val="es-ES_tradnl"/>
        </w:rPr>
        <w:noBreakHyphen/>
      </w:r>
      <w:r w:rsidRPr="0056577B">
        <w:rPr>
          <w:szCs w:val="24"/>
          <w:lang w:val="es-ES_tradnl"/>
        </w:rPr>
        <w:t>27 accedió a la solicitud del GT 4A y prorrogó el plazo para el envío de materiales al GT</w:t>
      </w:r>
      <w:r w:rsidR="00912398" w:rsidRPr="0056577B">
        <w:rPr>
          <w:szCs w:val="24"/>
          <w:lang w:val="es-ES_tradnl"/>
        </w:rPr>
        <w:t> </w:t>
      </w:r>
      <w:r w:rsidRPr="0056577B">
        <w:rPr>
          <w:szCs w:val="24"/>
          <w:lang w:val="es-ES_tradnl"/>
        </w:rPr>
        <w:t>7C.</w:t>
      </w:r>
    </w:p>
    <w:p w14:paraId="1CD2A0B1" w14:textId="51E1F29C" w:rsidR="008F4AA3" w:rsidRPr="0056577B" w:rsidRDefault="008F4AA3" w:rsidP="008F4AA3">
      <w:pPr>
        <w:rPr>
          <w:szCs w:val="24"/>
          <w:lang w:val="es-ES_tradnl"/>
        </w:rPr>
      </w:pPr>
      <w:r w:rsidRPr="0056577B">
        <w:rPr>
          <w:szCs w:val="24"/>
          <w:lang w:val="es-ES_tradnl"/>
        </w:rPr>
        <w:t xml:space="preserve">Además, la Comisión de Dirección de la RPC-27 reafirmó su decisión de permitir que en las próximas reuniones de los </w:t>
      </w:r>
      <w:r w:rsidR="00726249" w:rsidRPr="0056577B">
        <w:rPr>
          <w:szCs w:val="24"/>
          <w:lang w:val="es-ES_tradnl"/>
        </w:rPr>
        <w:t>GT</w:t>
      </w:r>
      <w:r w:rsidRPr="0056577B">
        <w:rPr>
          <w:szCs w:val="24"/>
          <w:lang w:val="es-ES_tradnl"/>
        </w:rPr>
        <w:t xml:space="preserve"> de la CE</w:t>
      </w:r>
      <w:r w:rsidR="00726249" w:rsidRPr="0056577B">
        <w:rPr>
          <w:szCs w:val="24"/>
          <w:lang w:val="es-ES_tradnl"/>
        </w:rPr>
        <w:t> </w:t>
      </w:r>
      <w:r w:rsidRPr="0056577B">
        <w:rPr>
          <w:szCs w:val="24"/>
          <w:lang w:val="es-ES_tradnl"/>
        </w:rPr>
        <w:t>3, previstas durante el primer semestre de 2025, se elaborasen y enviasen materiales adicionales para los estudios preparatorios de la CMR-27.</w:t>
      </w:r>
    </w:p>
    <w:p w14:paraId="576B5534" w14:textId="77777777" w:rsidR="008F4AA3" w:rsidRPr="0056577B" w:rsidRDefault="008F4AA3" w:rsidP="008F4AA3">
      <w:pPr>
        <w:rPr>
          <w:szCs w:val="24"/>
          <w:lang w:val="es-ES_tradnl"/>
        </w:rPr>
      </w:pPr>
      <w:r w:rsidRPr="0056577B">
        <w:rPr>
          <w:szCs w:val="24"/>
          <w:lang w:val="es-ES_tradnl"/>
        </w:rPr>
        <w:t>La Comisión de Dirección de la RPC-27 recordó el plazo ampliado hasta el 1 de julio de 2025, conforme a lo indicado en el Anexo 4 a la Circular CA/270, para la presentación de los materiales restantes.</w:t>
      </w:r>
    </w:p>
    <w:p w14:paraId="4BB0A0DA" w14:textId="15079606" w:rsidR="008F4AA3" w:rsidRPr="0056577B" w:rsidRDefault="008F4AA3" w:rsidP="008F4AA3">
      <w:pPr>
        <w:rPr>
          <w:szCs w:val="24"/>
          <w:lang w:val="es-ES_tradnl"/>
        </w:rPr>
      </w:pPr>
      <w:r w:rsidRPr="0056577B">
        <w:rPr>
          <w:szCs w:val="24"/>
          <w:lang w:val="es-ES_tradnl"/>
        </w:rPr>
        <w:t>La Comisión de Dirección de la RPC-27 tomó nota de la información adicional facilitada por el Presidente del GT</w:t>
      </w:r>
      <w:r w:rsidR="00726249" w:rsidRPr="0056577B">
        <w:rPr>
          <w:szCs w:val="24"/>
          <w:lang w:val="es-ES_tradnl"/>
        </w:rPr>
        <w:t> </w:t>
      </w:r>
      <w:r w:rsidRPr="0056577B">
        <w:rPr>
          <w:szCs w:val="24"/>
          <w:lang w:val="es-ES_tradnl"/>
        </w:rPr>
        <w:t>5D en relación con los debates en curso sobre los criterios de protección de las</w:t>
      </w:r>
      <w:r w:rsidR="00912398" w:rsidRPr="0056577B">
        <w:rPr>
          <w:szCs w:val="24"/>
          <w:lang w:val="es-ES_tradnl"/>
        </w:rPr>
        <w:t> </w:t>
      </w:r>
      <w:r w:rsidRPr="0056577B">
        <w:rPr>
          <w:szCs w:val="24"/>
          <w:lang w:val="es-ES_tradnl"/>
        </w:rPr>
        <w:t>IMT, en cuyo marco se estaban barajando tres alternativas. Cabe prever que dichas alternativas se revisen y, posiblemente, se fusionen en una única opción durante la reunión que el GT</w:t>
      </w:r>
      <w:r w:rsidR="00912398" w:rsidRPr="0056577B">
        <w:rPr>
          <w:szCs w:val="24"/>
          <w:lang w:val="es-ES_tradnl"/>
        </w:rPr>
        <w:t> </w:t>
      </w:r>
      <w:r w:rsidRPr="0056577B">
        <w:rPr>
          <w:szCs w:val="24"/>
          <w:lang w:val="es-ES_tradnl"/>
        </w:rPr>
        <w:t>5D celebrará en febrero de 2025. Estos debates podrían afectar a los estudios preparatorios del punto</w:t>
      </w:r>
      <w:r w:rsidR="00912398" w:rsidRPr="0056577B">
        <w:rPr>
          <w:szCs w:val="24"/>
          <w:lang w:val="es-ES_tradnl"/>
        </w:rPr>
        <w:t> </w:t>
      </w:r>
      <w:r w:rsidRPr="0056577B">
        <w:rPr>
          <w:szCs w:val="24"/>
          <w:lang w:val="es-ES_tradnl"/>
        </w:rPr>
        <w:t>1.1 del orden del día de la CMR-27 encargados al GT</w:t>
      </w:r>
      <w:r w:rsidR="00726249" w:rsidRPr="0056577B">
        <w:rPr>
          <w:szCs w:val="24"/>
          <w:lang w:val="es-ES_tradnl"/>
        </w:rPr>
        <w:t> </w:t>
      </w:r>
      <w:r w:rsidRPr="0056577B">
        <w:rPr>
          <w:szCs w:val="24"/>
          <w:lang w:val="es-ES_tradnl"/>
        </w:rPr>
        <w:t>4A, a los estudios de los puntos</w:t>
      </w:r>
      <w:r w:rsidR="00912398" w:rsidRPr="0056577B">
        <w:rPr>
          <w:szCs w:val="24"/>
          <w:lang w:val="es-ES_tradnl"/>
        </w:rPr>
        <w:t> </w:t>
      </w:r>
      <w:r w:rsidRPr="0056577B">
        <w:rPr>
          <w:szCs w:val="24"/>
          <w:lang w:val="es-ES_tradnl"/>
        </w:rPr>
        <w:t>1.11, 1.12 y 1.14 encargados al GT</w:t>
      </w:r>
      <w:r w:rsidR="00726249" w:rsidRPr="0056577B">
        <w:rPr>
          <w:szCs w:val="24"/>
          <w:lang w:val="es-ES_tradnl"/>
        </w:rPr>
        <w:t> </w:t>
      </w:r>
      <w:r w:rsidRPr="0056577B">
        <w:rPr>
          <w:szCs w:val="24"/>
          <w:lang w:val="es-ES_tradnl"/>
        </w:rPr>
        <w:t>4C y a los estudios del punto 1.15 encargados al GT</w:t>
      </w:r>
      <w:r w:rsidR="00726249" w:rsidRPr="0056577B">
        <w:rPr>
          <w:szCs w:val="24"/>
          <w:lang w:val="es-ES_tradnl"/>
        </w:rPr>
        <w:t> </w:t>
      </w:r>
      <w:r w:rsidRPr="0056577B">
        <w:rPr>
          <w:szCs w:val="24"/>
          <w:lang w:val="es-ES_tradnl"/>
        </w:rPr>
        <w:t>7B.</w:t>
      </w:r>
    </w:p>
    <w:p w14:paraId="5217B9CA" w14:textId="5F1319AD" w:rsidR="008F4AA3" w:rsidRPr="0056577B" w:rsidRDefault="008F4AA3" w:rsidP="008F4AA3">
      <w:pPr>
        <w:rPr>
          <w:szCs w:val="24"/>
          <w:lang w:val="es-ES_tradnl"/>
        </w:rPr>
      </w:pPr>
      <w:r w:rsidRPr="0056577B">
        <w:rPr>
          <w:szCs w:val="24"/>
          <w:lang w:val="es-ES_tradnl"/>
        </w:rPr>
        <w:t>La Comisión de Dirección de la RPC-27 invitó también a los Presidentes de los grupos responsables y contribuyentes a colaborar en la medida de lo posible para encontrar soluciones de común acuerdo que permitieran a los grupos responsables llevar a cabo su labor</w:t>
      </w:r>
      <w:bookmarkStart w:id="0" w:name="_Hlk184156654"/>
      <w:r w:rsidRPr="0056577B">
        <w:rPr>
          <w:szCs w:val="24"/>
          <w:lang w:val="es-ES_tradnl"/>
        </w:rPr>
        <w:t>.</w:t>
      </w:r>
    </w:p>
    <w:bookmarkEnd w:id="0"/>
    <w:p w14:paraId="733F581E" w14:textId="77777777" w:rsidR="008F4AA3" w:rsidRPr="0056577B" w:rsidRDefault="008F4AA3" w:rsidP="008F4AA3">
      <w:pPr>
        <w:pStyle w:val="Heading1"/>
        <w:rPr>
          <w:szCs w:val="24"/>
          <w:lang w:val="es-ES_tradnl"/>
        </w:rPr>
      </w:pPr>
      <w:r w:rsidRPr="0056577B">
        <w:rPr>
          <w:szCs w:val="24"/>
          <w:lang w:val="es-ES_tradnl"/>
        </w:rPr>
        <w:lastRenderedPageBreak/>
        <w:t>2</w:t>
      </w:r>
      <w:r w:rsidRPr="0056577B">
        <w:rPr>
          <w:szCs w:val="24"/>
          <w:lang w:val="es-ES_tradnl"/>
        </w:rPr>
        <w:tab/>
        <w:t>Modificación de la atribución de los trabajos preparatorios del UIT-R para la CMR</w:t>
      </w:r>
      <w:r w:rsidRPr="0056577B">
        <w:rPr>
          <w:szCs w:val="24"/>
          <w:lang w:val="es-ES_tradnl"/>
        </w:rPr>
        <w:noBreakHyphen/>
        <w:t>27</w:t>
      </w:r>
    </w:p>
    <w:p w14:paraId="602459A7" w14:textId="018EB4E7" w:rsidR="008F4AA3" w:rsidRPr="0056577B" w:rsidRDefault="008F4AA3" w:rsidP="008F4AA3">
      <w:pPr>
        <w:rPr>
          <w:szCs w:val="24"/>
          <w:lang w:val="es-ES_tradnl"/>
        </w:rPr>
      </w:pPr>
      <w:r w:rsidRPr="0056577B">
        <w:rPr>
          <w:szCs w:val="24"/>
          <w:lang w:val="es-ES_tradnl"/>
        </w:rPr>
        <w:t>La Comisión de Dirección de la RPC-27 accedió a las solicitudes de algunos GT en relación con las listas de grupos contribuyentes para algunos puntos del orden del día de la CMR</w:t>
      </w:r>
      <w:r w:rsidR="00912398" w:rsidRPr="0056577B">
        <w:rPr>
          <w:szCs w:val="24"/>
          <w:lang w:val="es-ES_tradnl"/>
        </w:rPr>
        <w:noBreakHyphen/>
      </w:r>
      <w:r w:rsidRPr="0056577B">
        <w:rPr>
          <w:szCs w:val="24"/>
          <w:lang w:val="es-ES_tradnl"/>
        </w:rPr>
        <w:t>27, en concreto:</w:t>
      </w:r>
    </w:p>
    <w:p w14:paraId="6D904517" w14:textId="2965EDD2" w:rsidR="008F4AA3" w:rsidRPr="0056577B" w:rsidRDefault="008F4AA3" w:rsidP="008F4AA3">
      <w:pPr>
        <w:pStyle w:val="enumlev1"/>
        <w:rPr>
          <w:szCs w:val="24"/>
          <w:lang w:val="es-ES_tradnl"/>
        </w:rPr>
      </w:pPr>
      <w:r w:rsidRPr="0056577B">
        <w:rPr>
          <w:szCs w:val="24"/>
          <w:lang w:val="es-ES_tradnl"/>
        </w:rPr>
        <w:t>–</w:t>
      </w:r>
      <w:r w:rsidRPr="0056577B">
        <w:rPr>
          <w:szCs w:val="24"/>
          <w:lang w:val="es-ES_tradnl"/>
        </w:rPr>
        <w:tab/>
        <w:t>suprimió al GT</w:t>
      </w:r>
      <w:r w:rsidR="00726249" w:rsidRPr="0056577B">
        <w:rPr>
          <w:szCs w:val="24"/>
          <w:lang w:val="es-ES_tradnl"/>
        </w:rPr>
        <w:t> </w:t>
      </w:r>
      <w:r w:rsidRPr="0056577B">
        <w:rPr>
          <w:szCs w:val="24"/>
          <w:lang w:val="es-ES_tradnl"/>
        </w:rPr>
        <w:t>4C y al GT</w:t>
      </w:r>
      <w:r w:rsidR="00726249" w:rsidRPr="0056577B">
        <w:rPr>
          <w:szCs w:val="24"/>
          <w:lang w:val="es-ES_tradnl"/>
        </w:rPr>
        <w:t> </w:t>
      </w:r>
      <w:r w:rsidRPr="0056577B">
        <w:rPr>
          <w:szCs w:val="24"/>
          <w:lang w:val="es-ES_tradnl"/>
        </w:rPr>
        <w:t>7B de la lista para el punto 1.1 del orden del día; y</w:t>
      </w:r>
    </w:p>
    <w:p w14:paraId="52B772FF" w14:textId="1D611BD3" w:rsidR="008F4AA3" w:rsidRPr="0056577B" w:rsidRDefault="008F4AA3" w:rsidP="008F4AA3">
      <w:pPr>
        <w:pStyle w:val="enumlev1"/>
        <w:rPr>
          <w:szCs w:val="24"/>
          <w:lang w:val="es-ES_tradnl"/>
        </w:rPr>
      </w:pPr>
      <w:r w:rsidRPr="0056577B">
        <w:rPr>
          <w:szCs w:val="24"/>
          <w:lang w:val="es-ES_tradnl"/>
        </w:rPr>
        <w:t>–</w:t>
      </w:r>
      <w:r w:rsidRPr="0056577B">
        <w:rPr>
          <w:szCs w:val="24"/>
          <w:lang w:val="es-ES_tradnl"/>
        </w:rPr>
        <w:tab/>
        <w:t>suprimió al GT</w:t>
      </w:r>
      <w:r w:rsidR="00726249" w:rsidRPr="0056577B">
        <w:rPr>
          <w:szCs w:val="24"/>
          <w:lang w:val="es-ES_tradnl"/>
        </w:rPr>
        <w:t> </w:t>
      </w:r>
      <w:r w:rsidRPr="0056577B">
        <w:rPr>
          <w:szCs w:val="24"/>
          <w:lang w:val="es-ES_tradnl"/>
        </w:rPr>
        <w:t>7C de la lista para el punto 1.14 del orden del día.</w:t>
      </w:r>
      <w:bookmarkStart w:id="1" w:name="ddistribution"/>
      <w:bookmarkEnd w:id="1"/>
    </w:p>
    <w:p w14:paraId="62C3935A" w14:textId="6BC9A78A" w:rsidR="008F4AA3" w:rsidRPr="0056577B" w:rsidRDefault="008F4AA3" w:rsidP="00726249">
      <w:pPr>
        <w:rPr>
          <w:lang w:val="es-ES_tradnl"/>
        </w:rPr>
      </w:pPr>
      <w:r w:rsidRPr="0056577B">
        <w:rPr>
          <w:lang w:val="es-ES_tradnl"/>
        </w:rPr>
        <w:t>No se recibieron solicitudes relativas a la atribución de los trabajos preparatorios del UIT-R para la CMR</w:t>
      </w:r>
      <w:r w:rsidR="00912398" w:rsidRPr="0056577B">
        <w:rPr>
          <w:lang w:val="es-ES_tradnl"/>
        </w:rPr>
        <w:noBreakHyphen/>
      </w:r>
      <w:r w:rsidRPr="0056577B">
        <w:rPr>
          <w:lang w:val="es-ES_tradnl"/>
        </w:rPr>
        <w:t>31 (véase el Anexo 8 a la Circular CA/270).</w:t>
      </w:r>
    </w:p>
    <w:p w14:paraId="03F8C10F" w14:textId="0C25DF7B" w:rsidR="008F4AA3" w:rsidRPr="0056577B" w:rsidRDefault="008F4AA3" w:rsidP="008F4AA3">
      <w:pPr>
        <w:rPr>
          <w:szCs w:val="24"/>
          <w:lang w:val="es-ES_tradnl"/>
        </w:rPr>
      </w:pPr>
      <w:r w:rsidRPr="0056577B">
        <w:rPr>
          <w:szCs w:val="24"/>
          <w:lang w:val="es-ES_tradnl"/>
        </w:rPr>
        <w:t>El Cuadro siguiente contiene la atribución actualizada en consecuencia de los trabajos preparatorios del UIT-R para los puntos del orden del día de la CMR</w:t>
      </w:r>
      <w:r w:rsidRPr="0056577B">
        <w:rPr>
          <w:szCs w:val="24"/>
          <w:lang w:val="es-ES_tradnl"/>
        </w:rPr>
        <w:noBreakHyphen/>
        <w:t>27, como se propone en la Resolución </w:t>
      </w:r>
      <w:r w:rsidRPr="0056577B">
        <w:rPr>
          <w:b/>
          <w:bCs/>
          <w:szCs w:val="24"/>
          <w:lang w:val="es-ES_tradnl"/>
        </w:rPr>
        <w:t>813 (CMR</w:t>
      </w:r>
      <w:r w:rsidR="00912398" w:rsidRPr="0056577B">
        <w:rPr>
          <w:b/>
          <w:bCs/>
          <w:szCs w:val="24"/>
          <w:lang w:val="es-ES_tradnl"/>
        </w:rPr>
        <w:noBreakHyphen/>
      </w:r>
      <w:r w:rsidRPr="0056577B">
        <w:rPr>
          <w:b/>
          <w:bCs/>
          <w:szCs w:val="24"/>
          <w:lang w:val="es-ES_tradnl"/>
        </w:rPr>
        <w:t>23)</w:t>
      </w:r>
      <w:r w:rsidRPr="0056577B">
        <w:rPr>
          <w:szCs w:val="24"/>
          <w:lang w:val="es-ES_tradnl"/>
        </w:rPr>
        <w:t>.</w:t>
      </w:r>
    </w:p>
    <w:p w14:paraId="79131C5C" w14:textId="77777777" w:rsidR="008F4AA3" w:rsidRPr="0056577B" w:rsidRDefault="008F4AA3" w:rsidP="008F4AA3">
      <w:pPr>
        <w:rPr>
          <w:szCs w:val="24"/>
          <w:lang w:val="es-ES_tradnl"/>
        </w:rPr>
      </w:pPr>
      <w:r w:rsidRPr="0056577B">
        <w:rPr>
          <w:szCs w:val="24"/>
          <w:lang w:val="es-ES_tradnl"/>
        </w:rPr>
        <w:t>Incluye anotaciones para la identificación de los «grupos responsables» y los «grupos contribuyentes» del UIT-R para los puntos del orden del día de la CMR</w:t>
      </w:r>
      <w:r w:rsidRPr="0056577B">
        <w:rPr>
          <w:szCs w:val="24"/>
          <w:lang w:val="es-ES_tradnl"/>
        </w:rPr>
        <w:noBreakHyphen/>
        <w:t>27.</w:t>
      </w:r>
    </w:p>
    <w:p w14:paraId="6D33F34D" w14:textId="1B6F5483" w:rsidR="008F4AA3" w:rsidRPr="0056577B" w:rsidRDefault="008F4AA3" w:rsidP="0056577B">
      <w:pPr>
        <w:pStyle w:val="Note"/>
        <w:rPr>
          <w:lang w:val="es-ES_tradnl"/>
        </w:rPr>
      </w:pPr>
      <w:r w:rsidRPr="0056577B">
        <w:rPr>
          <w:lang w:val="es-ES_tradnl"/>
        </w:rPr>
        <w:t xml:space="preserve">NOTA 1 – Los </w:t>
      </w:r>
      <w:r w:rsidR="00726249" w:rsidRPr="0056577B">
        <w:rPr>
          <w:lang w:val="es-ES_tradnl"/>
        </w:rPr>
        <w:t>GT</w:t>
      </w:r>
      <w:r w:rsidRPr="0056577B">
        <w:rPr>
          <w:lang w:val="es-ES_tradnl"/>
        </w:rPr>
        <w:t xml:space="preserve"> indicados en el siguiente Cuadro se han identificado basándose en la estructura de las Comisiones de Estudio contenida en el Documento </w:t>
      </w:r>
      <w:hyperlink r:id="rId11" w:history="1">
        <w:r w:rsidRPr="0056577B">
          <w:rPr>
            <w:rStyle w:val="Hyperlink"/>
            <w:szCs w:val="24"/>
            <w:lang w:val="es-ES_tradnl"/>
          </w:rPr>
          <w:t>CPM27</w:t>
        </w:r>
        <w:r w:rsidRPr="0056577B">
          <w:rPr>
            <w:rStyle w:val="Hyperlink"/>
            <w:szCs w:val="24"/>
            <w:lang w:val="es-ES_tradnl"/>
          </w:rPr>
          <w:noBreakHyphen/>
          <w:t>1/1</w:t>
        </w:r>
      </w:hyperlink>
      <w:r w:rsidRPr="0056577B">
        <w:rPr>
          <w:lang w:val="es-ES_tradnl"/>
        </w:rPr>
        <w:t>.</w:t>
      </w:r>
    </w:p>
    <w:p w14:paraId="7D09B0CD" w14:textId="77777777" w:rsidR="008F4AA3" w:rsidRPr="0056577B" w:rsidRDefault="008F4AA3" w:rsidP="00665FB3">
      <w:pPr>
        <w:pStyle w:val="Note"/>
        <w:spacing w:after="240"/>
        <w:rPr>
          <w:lang w:val="es-ES_tradnl"/>
        </w:rPr>
      </w:pPr>
      <w:r w:rsidRPr="0056577B">
        <w:rPr>
          <w:lang w:val="es-ES_tradnl"/>
        </w:rPr>
        <w:t>NOTA 2 – Se invita a los grupos responsables a comunicar periódicamente a los grupos contribuyentes los progresos realizados y los resultados de sus estudios.</w:t>
      </w:r>
    </w:p>
    <w:tbl>
      <w:tblPr>
        <w:tblStyle w:val="TableGrid"/>
        <w:tblW w:w="5000" w:type="pct"/>
        <w:jc w:val="center"/>
        <w:tblLook w:val="04A0" w:firstRow="1" w:lastRow="0" w:firstColumn="1" w:lastColumn="0" w:noHBand="0" w:noVBand="1"/>
      </w:tblPr>
      <w:tblGrid>
        <w:gridCol w:w="1549"/>
        <w:gridCol w:w="1859"/>
        <w:gridCol w:w="1509"/>
        <w:gridCol w:w="4712"/>
      </w:tblGrid>
      <w:tr w:rsidR="008F4AA3" w:rsidRPr="0061755E" w14:paraId="1CBB3163" w14:textId="77777777" w:rsidTr="00073536">
        <w:trPr>
          <w:tblHeader/>
          <w:jc w:val="center"/>
        </w:trPr>
        <w:tc>
          <w:tcPr>
            <w:tcW w:w="9629" w:type="dxa"/>
            <w:gridSpan w:val="4"/>
            <w:vAlign w:val="center"/>
          </w:tcPr>
          <w:p w14:paraId="77D0B4F6" w14:textId="77777777" w:rsidR="008F4AA3" w:rsidRPr="0056577B" w:rsidRDefault="008F4AA3" w:rsidP="0056577B">
            <w:pPr>
              <w:pStyle w:val="Tablehead"/>
              <w:rPr>
                <w:sz w:val="22"/>
                <w:lang w:val="es-ES_tradnl"/>
              </w:rPr>
            </w:pPr>
            <w:r w:rsidRPr="0056577B">
              <w:rPr>
                <w:sz w:val="22"/>
                <w:lang w:val="es-ES_tradnl"/>
              </w:rPr>
              <w:t>Atribución de los trabajos preparatorios del UIT-R para la CMR</w:t>
            </w:r>
            <w:r w:rsidRPr="0056577B">
              <w:rPr>
                <w:sz w:val="22"/>
                <w:lang w:val="es-ES_tradnl"/>
              </w:rPr>
              <w:noBreakHyphen/>
              <w:t>27</w:t>
            </w:r>
          </w:p>
        </w:tc>
      </w:tr>
      <w:tr w:rsidR="008F4AA3" w:rsidRPr="0056577B" w14:paraId="0E7344C0" w14:textId="77777777" w:rsidTr="00073536">
        <w:trPr>
          <w:tblHeader/>
          <w:jc w:val="center"/>
        </w:trPr>
        <w:tc>
          <w:tcPr>
            <w:tcW w:w="1549" w:type="dxa"/>
            <w:vAlign w:val="center"/>
          </w:tcPr>
          <w:p w14:paraId="54626BB8" w14:textId="77777777" w:rsidR="008F4AA3" w:rsidRPr="0056577B" w:rsidRDefault="008F4AA3" w:rsidP="0056577B">
            <w:pPr>
              <w:pStyle w:val="Tablehead"/>
              <w:rPr>
                <w:sz w:val="22"/>
                <w:lang w:val="es-ES_tradnl"/>
              </w:rPr>
            </w:pPr>
            <w:r w:rsidRPr="0056577B">
              <w:rPr>
                <w:sz w:val="22"/>
                <w:lang w:val="es-ES_tradnl"/>
              </w:rPr>
              <w:t>Punto del orden del día/Tema de la CMR-27</w:t>
            </w:r>
          </w:p>
        </w:tc>
        <w:tc>
          <w:tcPr>
            <w:tcW w:w="1859" w:type="dxa"/>
            <w:vAlign w:val="center"/>
          </w:tcPr>
          <w:p w14:paraId="5ECB59FE" w14:textId="77777777" w:rsidR="008F4AA3" w:rsidRPr="0056577B" w:rsidRDefault="008F4AA3" w:rsidP="0056577B">
            <w:pPr>
              <w:pStyle w:val="Tablehead"/>
              <w:rPr>
                <w:sz w:val="22"/>
                <w:lang w:val="es-ES_tradnl"/>
              </w:rPr>
            </w:pPr>
            <w:r w:rsidRPr="0056577B">
              <w:rPr>
                <w:sz w:val="22"/>
                <w:lang w:val="es-ES_tradnl"/>
              </w:rPr>
              <w:t xml:space="preserve">Resolución </w:t>
            </w:r>
            <w:r w:rsidRPr="0056577B">
              <w:rPr>
                <w:sz w:val="22"/>
                <w:lang w:val="es-ES_tradnl"/>
              </w:rPr>
              <w:br/>
              <w:t>de la CMR</w:t>
            </w:r>
          </w:p>
        </w:tc>
        <w:tc>
          <w:tcPr>
            <w:tcW w:w="1509" w:type="dxa"/>
            <w:vAlign w:val="center"/>
          </w:tcPr>
          <w:p w14:paraId="3A48518C" w14:textId="77777777" w:rsidR="008F4AA3" w:rsidRPr="0056577B" w:rsidRDefault="008F4AA3" w:rsidP="0056577B">
            <w:pPr>
              <w:pStyle w:val="Tablehead"/>
              <w:rPr>
                <w:sz w:val="22"/>
                <w:lang w:val="es-ES_tradnl"/>
              </w:rPr>
            </w:pPr>
            <w:r w:rsidRPr="0056577B">
              <w:rPr>
                <w:sz w:val="22"/>
                <w:lang w:val="es-ES_tradnl"/>
              </w:rPr>
              <w:t>Grupo responsable</w:t>
            </w:r>
          </w:p>
        </w:tc>
        <w:tc>
          <w:tcPr>
            <w:tcW w:w="4712" w:type="dxa"/>
            <w:vAlign w:val="center"/>
          </w:tcPr>
          <w:p w14:paraId="036D2D66" w14:textId="77777777" w:rsidR="008F4AA3" w:rsidRPr="0056577B" w:rsidRDefault="008F4AA3" w:rsidP="0056577B">
            <w:pPr>
              <w:pStyle w:val="Tablehead"/>
              <w:rPr>
                <w:sz w:val="22"/>
                <w:lang w:val="es-ES_tradnl"/>
              </w:rPr>
            </w:pPr>
            <w:r w:rsidRPr="0056577B">
              <w:rPr>
                <w:sz w:val="22"/>
                <w:lang w:val="es-ES_tradnl"/>
              </w:rPr>
              <w:t>Grupo contribuyente</w:t>
            </w:r>
          </w:p>
        </w:tc>
      </w:tr>
      <w:tr w:rsidR="008F4AA3" w:rsidRPr="0061755E" w14:paraId="302DE2C3" w14:textId="77777777" w:rsidTr="00073536">
        <w:trPr>
          <w:jc w:val="center"/>
        </w:trPr>
        <w:tc>
          <w:tcPr>
            <w:tcW w:w="1549" w:type="dxa"/>
            <w:vAlign w:val="center"/>
          </w:tcPr>
          <w:p w14:paraId="7721310B" w14:textId="77777777" w:rsidR="008F4AA3" w:rsidRPr="0056577B" w:rsidRDefault="008F4AA3" w:rsidP="0056577B">
            <w:pPr>
              <w:pStyle w:val="Tabletext"/>
              <w:jc w:val="center"/>
              <w:rPr>
                <w:sz w:val="22"/>
                <w:lang w:val="es-ES_tradnl"/>
              </w:rPr>
            </w:pPr>
            <w:r w:rsidRPr="0056577B">
              <w:rPr>
                <w:sz w:val="22"/>
                <w:lang w:val="es-ES_tradnl"/>
              </w:rPr>
              <w:t>1.1</w:t>
            </w:r>
          </w:p>
        </w:tc>
        <w:tc>
          <w:tcPr>
            <w:tcW w:w="1859" w:type="dxa"/>
            <w:vAlign w:val="center"/>
          </w:tcPr>
          <w:p w14:paraId="4F637525" w14:textId="24A726E0" w:rsidR="008F4AA3" w:rsidRPr="0056577B" w:rsidRDefault="008F4AA3" w:rsidP="0056577B">
            <w:pPr>
              <w:pStyle w:val="Tabletext"/>
              <w:jc w:val="center"/>
              <w:rPr>
                <w:sz w:val="22"/>
                <w:lang w:val="es-ES_tradnl"/>
              </w:rPr>
            </w:pPr>
            <w:r w:rsidRPr="0056577B">
              <w:rPr>
                <w:sz w:val="22"/>
                <w:lang w:val="es-ES_tradnl"/>
              </w:rPr>
              <w:t xml:space="preserve">176 </w:t>
            </w:r>
            <w:r w:rsidR="00912398" w:rsidRPr="0056577B">
              <w:rPr>
                <w:sz w:val="22"/>
                <w:lang w:val="es-ES_tradnl"/>
              </w:rPr>
              <w:br/>
            </w:r>
            <w:r w:rsidRPr="0056577B">
              <w:rPr>
                <w:sz w:val="22"/>
                <w:lang w:val="es-ES_tradnl"/>
              </w:rPr>
              <w:t>(Rev.CMR-23)</w:t>
            </w:r>
          </w:p>
        </w:tc>
        <w:tc>
          <w:tcPr>
            <w:tcW w:w="1509" w:type="dxa"/>
            <w:vAlign w:val="center"/>
          </w:tcPr>
          <w:p w14:paraId="3591F9EA" w14:textId="77777777" w:rsidR="008F4AA3" w:rsidRPr="0056577B" w:rsidRDefault="008F4AA3" w:rsidP="0056577B">
            <w:pPr>
              <w:pStyle w:val="Tabletext"/>
              <w:jc w:val="center"/>
              <w:rPr>
                <w:sz w:val="22"/>
                <w:lang w:val="es-ES_tradnl"/>
              </w:rPr>
            </w:pPr>
            <w:r w:rsidRPr="0056577B">
              <w:rPr>
                <w:sz w:val="22"/>
                <w:lang w:val="es-ES_tradnl"/>
              </w:rPr>
              <w:t>GT 4A</w:t>
            </w:r>
          </w:p>
        </w:tc>
        <w:tc>
          <w:tcPr>
            <w:tcW w:w="4712" w:type="dxa"/>
            <w:vAlign w:val="center"/>
          </w:tcPr>
          <w:p w14:paraId="3C2D47F2" w14:textId="77777777" w:rsidR="008F4AA3" w:rsidRPr="00C90C5E" w:rsidRDefault="008F4AA3" w:rsidP="0056577B">
            <w:pPr>
              <w:pStyle w:val="Tabletext"/>
              <w:jc w:val="center"/>
              <w:rPr>
                <w:sz w:val="22"/>
                <w:lang w:val="fr-FR"/>
              </w:rPr>
            </w:pPr>
            <w:r w:rsidRPr="00C90C5E">
              <w:rPr>
                <w:sz w:val="22"/>
                <w:lang w:val="fr-FR"/>
              </w:rPr>
              <w:t>GT 3M; GT 5A; GT 5B; GT 5C; GT 5D; GT 7C; GT 7D</w:t>
            </w:r>
          </w:p>
        </w:tc>
      </w:tr>
      <w:tr w:rsidR="008F4AA3" w:rsidRPr="0061755E" w14:paraId="3149AD0F" w14:textId="77777777" w:rsidTr="00073536">
        <w:trPr>
          <w:jc w:val="center"/>
        </w:trPr>
        <w:tc>
          <w:tcPr>
            <w:tcW w:w="1549" w:type="dxa"/>
            <w:vAlign w:val="center"/>
          </w:tcPr>
          <w:p w14:paraId="6B611021" w14:textId="77777777" w:rsidR="008F4AA3" w:rsidRPr="0056577B" w:rsidRDefault="008F4AA3" w:rsidP="0056577B">
            <w:pPr>
              <w:pStyle w:val="Tabletext"/>
              <w:jc w:val="center"/>
              <w:rPr>
                <w:sz w:val="22"/>
                <w:lang w:val="es-ES_tradnl"/>
              </w:rPr>
            </w:pPr>
            <w:r w:rsidRPr="0056577B">
              <w:rPr>
                <w:sz w:val="22"/>
                <w:lang w:val="es-ES_tradnl"/>
              </w:rPr>
              <w:t>1.2</w:t>
            </w:r>
          </w:p>
        </w:tc>
        <w:tc>
          <w:tcPr>
            <w:tcW w:w="1859" w:type="dxa"/>
            <w:vAlign w:val="center"/>
          </w:tcPr>
          <w:p w14:paraId="05B4B229" w14:textId="77777777" w:rsidR="008F4AA3" w:rsidRPr="0056577B" w:rsidRDefault="008F4AA3" w:rsidP="0056577B">
            <w:pPr>
              <w:pStyle w:val="Tabletext"/>
              <w:jc w:val="center"/>
              <w:rPr>
                <w:sz w:val="22"/>
                <w:lang w:val="es-ES_tradnl"/>
              </w:rPr>
            </w:pPr>
            <w:r w:rsidRPr="0056577B">
              <w:rPr>
                <w:sz w:val="22"/>
                <w:lang w:val="es-ES_tradnl"/>
              </w:rPr>
              <w:t>129 (CMR</w:t>
            </w:r>
            <w:r w:rsidRPr="0056577B">
              <w:rPr>
                <w:sz w:val="22"/>
                <w:lang w:val="es-ES_tradnl"/>
              </w:rPr>
              <w:noBreakHyphen/>
              <w:t>23)</w:t>
            </w:r>
          </w:p>
        </w:tc>
        <w:tc>
          <w:tcPr>
            <w:tcW w:w="1509" w:type="dxa"/>
            <w:vAlign w:val="center"/>
          </w:tcPr>
          <w:p w14:paraId="00237F3A" w14:textId="77777777" w:rsidR="008F4AA3" w:rsidRPr="0056577B" w:rsidRDefault="008F4AA3" w:rsidP="0056577B">
            <w:pPr>
              <w:pStyle w:val="Tabletext"/>
              <w:jc w:val="center"/>
              <w:rPr>
                <w:sz w:val="22"/>
                <w:lang w:val="es-ES_tradnl"/>
              </w:rPr>
            </w:pPr>
            <w:r w:rsidRPr="0056577B">
              <w:rPr>
                <w:sz w:val="22"/>
                <w:lang w:val="es-ES_tradnl"/>
              </w:rPr>
              <w:t>GT 4A</w:t>
            </w:r>
            <w:r w:rsidRPr="0056577B">
              <w:rPr>
                <w:rStyle w:val="FootnoteReference"/>
                <w:position w:val="0"/>
                <w:sz w:val="22"/>
                <w:lang w:val="es-ES_tradnl"/>
              </w:rPr>
              <w:footnoteReference w:customMarkFollows="1" w:id="1"/>
              <w:t>*</w:t>
            </w:r>
          </w:p>
        </w:tc>
        <w:tc>
          <w:tcPr>
            <w:tcW w:w="4712" w:type="dxa"/>
            <w:vAlign w:val="center"/>
          </w:tcPr>
          <w:p w14:paraId="6CD48D9D" w14:textId="77777777" w:rsidR="008F4AA3" w:rsidRPr="00C90C5E" w:rsidRDefault="008F4AA3" w:rsidP="0056577B">
            <w:pPr>
              <w:pStyle w:val="Tabletext"/>
              <w:jc w:val="center"/>
              <w:rPr>
                <w:sz w:val="22"/>
                <w:lang w:val="fr-FR"/>
              </w:rPr>
            </w:pPr>
            <w:r w:rsidRPr="00C90C5E">
              <w:rPr>
                <w:sz w:val="22"/>
                <w:lang w:val="fr-FR"/>
              </w:rPr>
              <w:t>GT 3M; GT 5A; GT 5B*; GT 5C; GT 7A; GT 7B; GT 7C</w:t>
            </w:r>
          </w:p>
        </w:tc>
      </w:tr>
      <w:tr w:rsidR="008F4AA3" w:rsidRPr="0061755E" w14:paraId="43D2036D" w14:textId="77777777" w:rsidTr="00073536">
        <w:trPr>
          <w:jc w:val="center"/>
        </w:trPr>
        <w:tc>
          <w:tcPr>
            <w:tcW w:w="1549" w:type="dxa"/>
            <w:vAlign w:val="center"/>
          </w:tcPr>
          <w:p w14:paraId="7280E566" w14:textId="77777777" w:rsidR="008F4AA3" w:rsidRPr="0056577B" w:rsidRDefault="008F4AA3" w:rsidP="0056577B">
            <w:pPr>
              <w:pStyle w:val="Tabletext"/>
              <w:jc w:val="center"/>
              <w:rPr>
                <w:sz w:val="22"/>
                <w:lang w:val="es-ES_tradnl"/>
              </w:rPr>
            </w:pPr>
            <w:r w:rsidRPr="0056577B">
              <w:rPr>
                <w:sz w:val="22"/>
                <w:lang w:val="es-ES_tradnl"/>
              </w:rPr>
              <w:t>1.3</w:t>
            </w:r>
          </w:p>
        </w:tc>
        <w:tc>
          <w:tcPr>
            <w:tcW w:w="1859" w:type="dxa"/>
            <w:vAlign w:val="center"/>
          </w:tcPr>
          <w:p w14:paraId="55ED68CC" w14:textId="77777777" w:rsidR="008F4AA3" w:rsidRPr="0056577B" w:rsidRDefault="008F4AA3" w:rsidP="0056577B">
            <w:pPr>
              <w:pStyle w:val="Tabletext"/>
              <w:jc w:val="center"/>
              <w:rPr>
                <w:sz w:val="22"/>
                <w:lang w:val="es-ES_tradnl"/>
              </w:rPr>
            </w:pPr>
            <w:r w:rsidRPr="0056577B">
              <w:rPr>
                <w:sz w:val="22"/>
                <w:lang w:val="es-ES_tradnl"/>
              </w:rPr>
              <w:t>130 (CMR</w:t>
            </w:r>
            <w:r w:rsidRPr="0056577B">
              <w:rPr>
                <w:sz w:val="22"/>
                <w:lang w:val="es-ES_tradnl"/>
              </w:rPr>
              <w:noBreakHyphen/>
              <w:t>23)</w:t>
            </w:r>
          </w:p>
        </w:tc>
        <w:tc>
          <w:tcPr>
            <w:tcW w:w="1509" w:type="dxa"/>
            <w:vAlign w:val="center"/>
          </w:tcPr>
          <w:p w14:paraId="0FDA45EF" w14:textId="77777777" w:rsidR="008F4AA3" w:rsidRPr="0056577B" w:rsidRDefault="008F4AA3" w:rsidP="0056577B">
            <w:pPr>
              <w:pStyle w:val="Tabletext"/>
              <w:jc w:val="center"/>
              <w:rPr>
                <w:sz w:val="22"/>
                <w:lang w:val="es-ES_tradnl"/>
              </w:rPr>
            </w:pPr>
            <w:r w:rsidRPr="0056577B">
              <w:rPr>
                <w:sz w:val="22"/>
                <w:lang w:val="es-ES_tradnl"/>
              </w:rPr>
              <w:t>GT 4A</w:t>
            </w:r>
          </w:p>
        </w:tc>
        <w:tc>
          <w:tcPr>
            <w:tcW w:w="4712" w:type="dxa"/>
            <w:vAlign w:val="center"/>
          </w:tcPr>
          <w:p w14:paraId="43B9A3E9" w14:textId="77777777" w:rsidR="008F4AA3" w:rsidRPr="00C90C5E" w:rsidRDefault="008F4AA3" w:rsidP="0056577B">
            <w:pPr>
              <w:pStyle w:val="Tabletext"/>
              <w:jc w:val="center"/>
              <w:rPr>
                <w:sz w:val="22"/>
                <w:lang w:val="fr-FR"/>
              </w:rPr>
            </w:pPr>
            <w:r w:rsidRPr="00C90C5E">
              <w:rPr>
                <w:sz w:val="22"/>
                <w:lang w:val="fr-FR"/>
              </w:rPr>
              <w:t>GT 3M; GT 5A; GT 5C; GT 7C; GT 7D</w:t>
            </w:r>
          </w:p>
        </w:tc>
      </w:tr>
      <w:tr w:rsidR="008F4AA3" w:rsidRPr="0061755E" w14:paraId="2E56F4C7" w14:textId="77777777" w:rsidTr="00073536">
        <w:trPr>
          <w:jc w:val="center"/>
        </w:trPr>
        <w:tc>
          <w:tcPr>
            <w:tcW w:w="1549" w:type="dxa"/>
            <w:vAlign w:val="center"/>
          </w:tcPr>
          <w:p w14:paraId="6ADA4802" w14:textId="77777777" w:rsidR="008F4AA3" w:rsidRPr="0056577B" w:rsidRDefault="008F4AA3" w:rsidP="0056577B">
            <w:pPr>
              <w:pStyle w:val="Tabletext"/>
              <w:jc w:val="center"/>
              <w:rPr>
                <w:sz w:val="22"/>
                <w:lang w:val="es-ES_tradnl"/>
              </w:rPr>
            </w:pPr>
            <w:r w:rsidRPr="0056577B">
              <w:rPr>
                <w:sz w:val="22"/>
                <w:lang w:val="es-ES_tradnl"/>
              </w:rPr>
              <w:t>1.4</w:t>
            </w:r>
          </w:p>
        </w:tc>
        <w:tc>
          <w:tcPr>
            <w:tcW w:w="1859" w:type="dxa"/>
            <w:vAlign w:val="center"/>
          </w:tcPr>
          <w:p w14:paraId="530965A5" w14:textId="77777777" w:rsidR="008F4AA3" w:rsidRPr="0056577B" w:rsidRDefault="008F4AA3" w:rsidP="0056577B">
            <w:pPr>
              <w:pStyle w:val="Tabletext"/>
              <w:jc w:val="center"/>
              <w:rPr>
                <w:sz w:val="22"/>
                <w:lang w:val="es-ES_tradnl"/>
              </w:rPr>
            </w:pPr>
            <w:r w:rsidRPr="0056577B">
              <w:rPr>
                <w:sz w:val="22"/>
                <w:lang w:val="es-ES_tradnl"/>
              </w:rPr>
              <w:t>726 (CMR</w:t>
            </w:r>
            <w:r w:rsidRPr="0056577B">
              <w:rPr>
                <w:sz w:val="22"/>
                <w:lang w:val="es-ES_tradnl"/>
              </w:rPr>
              <w:noBreakHyphen/>
              <w:t>23)</w:t>
            </w:r>
          </w:p>
        </w:tc>
        <w:tc>
          <w:tcPr>
            <w:tcW w:w="1509" w:type="dxa"/>
            <w:vAlign w:val="center"/>
          </w:tcPr>
          <w:p w14:paraId="2A8D3A98" w14:textId="77777777" w:rsidR="008F4AA3" w:rsidRPr="0056577B" w:rsidRDefault="008F4AA3" w:rsidP="0056577B">
            <w:pPr>
              <w:pStyle w:val="Tabletext"/>
              <w:jc w:val="center"/>
              <w:rPr>
                <w:sz w:val="22"/>
                <w:lang w:val="es-ES_tradnl"/>
              </w:rPr>
            </w:pPr>
            <w:r w:rsidRPr="0056577B">
              <w:rPr>
                <w:sz w:val="22"/>
                <w:lang w:val="es-ES_tradnl"/>
              </w:rPr>
              <w:t>GT 4A</w:t>
            </w:r>
          </w:p>
        </w:tc>
        <w:tc>
          <w:tcPr>
            <w:tcW w:w="4712" w:type="dxa"/>
            <w:vAlign w:val="center"/>
          </w:tcPr>
          <w:p w14:paraId="070D8FEC" w14:textId="77777777" w:rsidR="008F4AA3" w:rsidRPr="00C90C5E" w:rsidRDefault="008F4AA3" w:rsidP="0056577B">
            <w:pPr>
              <w:pStyle w:val="Tabletext"/>
              <w:jc w:val="center"/>
              <w:rPr>
                <w:sz w:val="22"/>
                <w:lang w:val="fr-FR"/>
              </w:rPr>
            </w:pPr>
            <w:r w:rsidRPr="00C90C5E">
              <w:rPr>
                <w:sz w:val="22"/>
                <w:lang w:val="fr-FR"/>
              </w:rPr>
              <w:t>GT 3M; GT 4B; GT 5A; GT 5B; GT 5C; GT 7C</w:t>
            </w:r>
          </w:p>
        </w:tc>
      </w:tr>
      <w:tr w:rsidR="008F4AA3" w:rsidRPr="0056577B" w14:paraId="7B726C02" w14:textId="77777777" w:rsidTr="00073536">
        <w:trPr>
          <w:jc w:val="center"/>
        </w:trPr>
        <w:tc>
          <w:tcPr>
            <w:tcW w:w="1549" w:type="dxa"/>
            <w:vAlign w:val="center"/>
          </w:tcPr>
          <w:p w14:paraId="58F937EE" w14:textId="77777777" w:rsidR="008F4AA3" w:rsidRPr="0056577B" w:rsidRDefault="008F4AA3" w:rsidP="0056577B">
            <w:pPr>
              <w:pStyle w:val="Tabletext"/>
              <w:jc w:val="center"/>
              <w:rPr>
                <w:sz w:val="22"/>
                <w:lang w:val="es-ES_tradnl"/>
              </w:rPr>
            </w:pPr>
            <w:r w:rsidRPr="0056577B">
              <w:rPr>
                <w:sz w:val="22"/>
                <w:lang w:val="es-ES_tradnl"/>
              </w:rPr>
              <w:t>1.5</w:t>
            </w:r>
          </w:p>
        </w:tc>
        <w:tc>
          <w:tcPr>
            <w:tcW w:w="1859" w:type="dxa"/>
            <w:vAlign w:val="center"/>
          </w:tcPr>
          <w:p w14:paraId="6BE383CB" w14:textId="77777777" w:rsidR="008F4AA3" w:rsidRPr="0056577B" w:rsidRDefault="008F4AA3" w:rsidP="0056577B">
            <w:pPr>
              <w:pStyle w:val="Tabletext"/>
              <w:jc w:val="center"/>
              <w:rPr>
                <w:sz w:val="22"/>
                <w:lang w:val="es-ES_tradnl"/>
              </w:rPr>
            </w:pPr>
            <w:r w:rsidRPr="0056577B">
              <w:rPr>
                <w:sz w:val="22"/>
                <w:lang w:val="es-ES_tradnl"/>
              </w:rPr>
              <w:t>14 (CMR</w:t>
            </w:r>
            <w:r w:rsidRPr="0056577B">
              <w:rPr>
                <w:sz w:val="22"/>
                <w:lang w:val="es-ES_tradnl"/>
              </w:rPr>
              <w:noBreakHyphen/>
              <w:t>23)</w:t>
            </w:r>
          </w:p>
        </w:tc>
        <w:tc>
          <w:tcPr>
            <w:tcW w:w="1509" w:type="dxa"/>
            <w:vAlign w:val="center"/>
          </w:tcPr>
          <w:p w14:paraId="1243F6E3" w14:textId="77777777" w:rsidR="008F4AA3" w:rsidRPr="0056577B" w:rsidRDefault="008F4AA3" w:rsidP="0056577B">
            <w:pPr>
              <w:pStyle w:val="Tabletext"/>
              <w:jc w:val="center"/>
              <w:rPr>
                <w:sz w:val="22"/>
                <w:lang w:val="es-ES_tradnl"/>
              </w:rPr>
            </w:pPr>
            <w:r w:rsidRPr="0056577B">
              <w:rPr>
                <w:sz w:val="22"/>
                <w:lang w:val="es-ES_tradnl"/>
              </w:rPr>
              <w:t>GT 4A</w:t>
            </w:r>
          </w:p>
        </w:tc>
        <w:tc>
          <w:tcPr>
            <w:tcW w:w="4712" w:type="dxa"/>
            <w:vAlign w:val="center"/>
          </w:tcPr>
          <w:p w14:paraId="54632AEB" w14:textId="77777777" w:rsidR="008F4AA3" w:rsidRPr="0056577B" w:rsidRDefault="008F4AA3" w:rsidP="0056577B">
            <w:pPr>
              <w:pStyle w:val="Tabletext"/>
              <w:jc w:val="center"/>
              <w:rPr>
                <w:sz w:val="22"/>
                <w:lang w:val="es-ES_tradnl"/>
              </w:rPr>
            </w:pPr>
            <w:r w:rsidRPr="0056577B">
              <w:rPr>
                <w:sz w:val="22"/>
                <w:lang w:val="es-ES_tradnl"/>
              </w:rPr>
              <w:t>GT 1B; GT 4C</w:t>
            </w:r>
          </w:p>
        </w:tc>
      </w:tr>
      <w:tr w:rsidR="008F4AA3" w:rsidRPr="0061755E" w14:paraId="6DCDE21F" w14:textId="77777777" w:rsidTr="00073536">
        <w:trPr>
          <w:jc w:val="center"/>
        </w:trPr>
        <w:tc>
          <w:tcPr>
            <w:tcW w:w="1549" w:type="dxa"/>
            <w:vAlign w:val="center"/>
          </w:tcPr>
          <w:p w14:paraId="6FA6857B" w14:textId="77777777" w:rsidR="008F4AA3" w:rsidRPr="0056577B" w:rsidRDefault="008F4AA3" w:rsidP="0056577B">
            <w:pPr>
              <w:pStyle w:val="Tabletext"/>
              <w:jc w:val="center"/>
              <w:rPr>
                <w:sz w:val="22"/>
                <w:lang w:val="es-ES_tradnl"/>
              </w:rPr>
            </w:pPr>
            <w:r w:rsidRPr="0056577B">
              <w:rPr>
                <w:sz w:val="22"/>
                <w:lang w:val="es-ES_tradnl"/>
              </w:rPr>
              <w:t>1.6</w:t>
            </w:r>
          </w:p>
        </w:tc>
        <w:tc>
          <w:tcPr>
            <w:tcW w:w="1859" w:type="dxa"/>
            <w:vAlign w:val="center"/>
          </w:tcPr>
          <w:p w14:paraId="625BAA28" w14:textId="77777777" w:rsidR="008F4AA3" w:rsidRPr="0056577B" w:rsidRDefault="008F4AA3" w:rsidP="0056577B">
            <w:pPr>
              <w:pStyle w:val="Tabletext"/>
              <w:jc w:val="center"/>
              <w:rPr>
                <w:sz w:val="22"/>
                <w:lang w:val="es-ES_tradnl"/>
              </w:rPr>
            </w:pPr>
            <w:r w:rsidRPr="0056577B">
              <w:rPr>
                <w:sz w:val="22"/>
                <w:lang w:val="es-ES_tradnl"/>
              </w:rPr>
              <w:t>131 (CMR</w:t>
            </w:r>
            <w:r w:rsidRPr="0056577B">
              <w:rPr>
                <w:sz w:val="22"/>
                <w:lang w:val="es-ES_tradnl"/>
              </w:rPr>
              <w:noBreakHyphen/>
              <w:t>23)</w:t>
            </w:r>
          </w:p>
        </w:tc>
        <w:tc>
          <w:tcPr>
            <w:tcW w:w="1509" w:type="dxa"/>
            <w:vAlign w:val="center"/>
          </w:tcPr>
          <w:p w14:paraId="719B9EB7" w14:textId="77777777" w:rsidR="008F4AA3" w:rsidRPr="0056577B" w:rsidRDefault="008F4AA3" w:rsidP="0056577B">
            <w:pPr>
              <w:pStyle w:val="Tabletext"/>
              <w:jc w:val="center"/>
              <w:rPr>
                <w:sz w:val="22"/>
                <w:lang w:val="es-ES_tradnl"/>
              </w:rPr>
            </w:pPr>
            <w:r w:rsidRPr="0056577B">
              <w:rPr>
                <w:sz w:val="22"/>
                <w:lang w:val="es-ES_tradnl"/>
              </w:rPr>
              <w:t>GT 4A</w:t>
            </w:r>
          </w:p>
        </w:tc>
        <w:tc>
          <w:tcPr>
            <w:tcW w:w="4712" w:type="dxa"/>
            <w:vAlign w:val="center"/>
          </w:tcPr>
          <w:p w14:paraId="7A24B8AE" w14:textId="77777777" w:rsidR="008F4AA3" w:rsidRPr="00C90C5E" w:rsidRDefault="008F4AA3" w:rsidP="0056577B">
            <w:pPr>
              <w:pStyle w:val="Tabletext"/>
              <w:jc w:val="center"/>
              <w:rPr>
                <w:sz w:val="22"/>
                <w:lang w:val="fr-FR"/>
              </w:rPr>
            </w:pPr>
            <w:r w:rsidRPr="00C90C5E">
              <w:rPr>
                <w:sz w:val="22"/>
                <w:lang w:val="fr-FR"/>
              </w:rPr>
              <w:t>GT 3M; GT 4B; GT 4C; GT 5A; GT 5B; GT 5C; GT 5D; GT 6A; GT 7B; GT 7C; GT 7D</w:t>
            </w:r>
          </w:p>
        </w:tc>
      </w:tr>
      <w:tr w:rsidR="008F4AA3" w:rsidRPr="0061755E" w14:paraId="22517D50" w14:textId="77777777" w:rsidTr="00073536">
        <w:trPr>
          <w:jc w:val="center"/>
        </w:trPr>
        <w:tc>
          <w:tcPr>
            <w:tcW w:w="1549" w:type="dxa"/>
            <w:vAlign w:val="center"/>
          </w:tcPr>
          <w:p w14:paraId="0E68A34B" w14:textId="77777777" w:rsidR="008F4AA3" w:rsidRPr="0056577B" w:rsidRDefault="008F4AA3" w:rsidP="0056577B">
            <w:pPr>
              <w:pStyle w:val="Tabletext"/>
              <w:jc w:val="center"/>
              <w:rPr>
                <w:sz w:val="22"/>
                <w:lang w:val="es-ES_tradnl"/>
              </w:rPr>
            </w:pPr>
            <w:r w:rsidRPr="0056577B">
              <w:rPr>
                <w:sz w:val="22"/>
                <w:lang w:val="es-ES_tradnl"/>
              </w:rPr>
              <w:t>1.7</w:t>
            </w:r>
          </w:p>
        </w:tc>
        <w:tc>
          <w:tcPr>
            <w:tcW w:w="1859" w:type="dxa"/>
            <w:vAlign w:val="center"/>
          </w:tcPr>
          <w:p w14:paraId="5F4D3A9A" w14:textId="77777777" w:rsidR="008F4AA3" w:rsidRPr="0056577B" w:rsidRDefault="008F4AA3" w:rsidP="0056577B">
            <w:pPr>
              <w:pStyle w:val="Tabletext"/>
              <w:jc w:val="center"/>
              <w:rPr>
                <w:sz w:val="22"/>
                <w:lang w:val="es-ES_tradnl"/>
              </w:rPr>
            </w:pPr>
            <w:r w:rsidRPr="0056577B">
              <w:rPr>
                <w:sz w:val="22"/>
                <w:lang w:val="es-ES_tradnl"/>
              </w:rPr>
              <w:t>256 (CMR</w:t>
            </w:r>
            <w:r w:rsidRPr="0056577B">
              <w:rPr>
                <w:sz w:val="22"/>
                <w:lang w:val="es-ES_tradnl"/>
              </w:rPr>
              <w:noBreakHyphen/>
              <w:t>23)</w:t>
            </w:r>
          </w:p>
        </w:tc>
        <w:tc>
          <w:tcPr>
            <w:tcW w:w="1509" w:type="dxa"/>
            <w:vAlign w:val="center"/>
          </w:tcPr>
          <w:p w14:paraId="30CE154A" w14:textId="77777777" w:rsidR="008F4AA3" w:rsidRPr="0056577B" w:rsidRDefault="008F4AA3" w:rsidP="0056577B">
            <w:pPr>
              <w:pStyle w:val="Tabletext"/>
              <w:jc w:val="center"/>
              <w:rPr>
                <w:sz w:val="22"/>
                <w:lang w:val="es-ES_tradnl"/>
              </w:rPr>
            </w:pPr>
            <w:r w:rsidRPr="0056577B">
              <w:rPr>
                <w:sz w:val="22"/>
                <w:lang w:val="es-ES_tradnl"/>
              </w:rPr>
              <w:t>GT 5D</w:t>
            </w:r>
          </w:p>
        </w:tc>
        <w:tc>
          <w:tcPr>
            <w:tcW w:w="4712" w:type="dxa"/>
            <w:vAlign w:val="center"/>
          </w:tcPr>
          <w:p w14:paraId="6D138E93" w14:textId="77777777" w:rsidR="008F4AA3" w:rsidRPr="00C90C5E" w:rsidRDefault="008F4AA3" w:rsidP="0056577B">
            <w:pPr>
              <w:pStyle w:val="Tabletext"/>
              <w:jc w:val="center"/>
              <w:rPr>
                <w:sz w:val="22"/>
                <w:lang w:val="fr-FR"/>
              </w:rPr>
            </w:pPr>
            <w:r w:rsidRPr="00C90C5E">
              <w:rPr>
                <w:sz w:val="22"/>
                <w:lang w:val="fr-FR"/>
              </w:rPr>
              <w:t>GT 3K; GT 3M; GT 4A; GT 4C; GT 5A; GT 5B; GT 5C; GT 7B; GT 7C; GT 7D</w:t>
            </w:r>
          </w:p>
        </w:tc>
      </w:tr>
      <w:tr w:rsidR="008F4AA3" w:rsidRPr="0061755E" w14:paraId="28DAECB2" w14:textId="77777777" w:rsidTr="00073536">
        <w:trPr>
          <w:jc w:val="center"/>
        </w:trPr>
        <w:tc>
          <w:tcPr>
            <w:tcW w:w="1549" w:type="dxa"/>
            <w:vAlign w:val="center"/>
          </w:tcPr>
          <w:p w14:paraId="2B412CB9" w14:textId="77777777" w:rsidR="008F4AA3" w:rsidRPr="0056577B" w:rsidRDefault="008F4AA3" w:rsidP="0056577B">
            <w:pPr>
              <w:pStyle w:val="Tabletext"/>
              <w:jc w:val="center"/>
              <w:rPr>
                <w:sz w:val="22"/>
                <w:lang w:val="es-ES_tradnl"/>
              </w:rPr>
            </w:pPr>
            <w:r w:rsidRPr="0056577B">
              <w:rPr>
                <w:sz w:val="22"/>
                <w:lang w:val="es-ES_tradnl"/>
              </w:rPr>
              <w:t>1.8</w:t>
            </w:r>
          </w:p>
        </w:tc>
        <w:tc>
          <w:tcPr>
            <w:tcW w:w="1859" w:type="dxa"/>
            <w:vAlign w:val="center"/>
          </w:tcPr>
          <w:p w14:paraId="7E5D73B2" w14:textId="4C538718" w:rsidR="008F4AA3" w:rsidRPr="0056577B" w:rsidRDefault="008F4AA3" w:rsidP="0056577B">
            <w:pPr>
              <w:pStyle w:val="Tabletext"/>
              <w:jc w:val="center"/>
              <w:rPr>
                <w:sz w:val="22"/>
                <w:lang w:val="es-ES_tradnl"/>
              </w:rPr>
            </w:pPr>
            <w:r w:rsidRPr="0056577B">
              <w:rPr>
                <w:sz w:val="22"/>
                <w:lang w:val="es-ES_tradnl"/>
              </w:rPr>
              <w:t>663</w:t>
            </w:r>
            <w:r w:rsidR="00912398" w:rsidRPr="0056577B">
              <w:rPr>
                <w:sz w:val="22"/>
                <w:lang w:val="es-ES_tradnl"/>
              </w:rPr>
              <w:br/>
            </w:r>
            <w:r w:rsidRPr="0056577B">
              <w:rPr>
                <w:sz w:val="22"/>
                <w:lang w:val="es-ES_tradnl"/>
              </w:rPr>
              <w:t>(Rev.CMR-23)</w:t>
            </w:r>
          </w:p>
        </w:tc>
        <w:tc>
          <w:tcPr>
            <w:tcW w:w="1509" w:type="dxa"/>
            <w:vAlign w:val="center"/>
          </w:tcPr>
          <w:p w14:paraId="622C603C" w14:textId="77777777" w:rsidR="008F4AA3" w:rsidRPr="0056577B" w:rsidRDefault="008F4AA3" w:rsidP="0056577B">
            <w:pPr>
              <w:pStyle w:val="Tabletext"/>
              <w:jc w:val="center"/>
              <w:rPr>
                <w:sz w:val="22"/>
                <w:lang w:val="es-ES_tradnl"/>
              </w:rPr>
            </w:pPr>
            <w:r w:rsidRPr="0056577B">
              <w:rPr>
                <w:sz w:val="22"/>
                <w:lang w:val="es-ES_tradnl"/>
              </w:rPr>
              <w:t>GT 5B</w:t>
            </w:r>
          </w:p>
        </w:tc>
        <w:tc>
          <w:tcPr>
            <w:tcW w:w="4712" w:type="dxa"/>
            <w:vAlign w:val="center"/>
          </w:tcPr>
          <w:p w14:paraId="5B74BF47" w14:textId="77777777" w:rsidR="008F4AA3" w:rsidRPr="00C90C5E" w:rsidRDefault="008F4AA3" w:rsidP="0056577B">
            <w:pPr>
              <w:pStyle w:val="Tabletext"/>
              <w:jc w:val="center"/>
              <w:rPr>
                <w:sz w:val="22"/>
                <w:lang w:val="fr-FR"/>
              </w:rPr>
            </w:pPr>
            <w:r w:rsidRPr="00C90C5E">
              <w:rPr>
                <w:sz w:val="22"/>
                <w:lang w:val="fr-FR"/>
              </w:rPr>
              <w:t>GT 3J; GT 3K; GT 3M; GT 4A; GT 4C; GT 5A; GT 5C; GT 7C; GT 7D</w:t>
            </w:r>
          </w:p>
        </w:tc>
      </w:tr>
      <w:tr w:rsidR="008F4AA3" w:rsidRPr="0061755E" w14:paraId="21EDCADA" w14:textId="77777777" w:rsidTr="00073536">
        <w:trPr>
          <w:jc w:val="center"/>
        </w:trPr>
        <w:tc>
          <w:tcPr>
            <w:tcW w:w="1549" w:type="dxa"/>
            <w:vAlign w:val="center"/>
          </w:tcPr>
          <w:p w14:paraId="71B743B3" w14:textId="77777777" w:rsidR="008F4AA3" w:rsidRPr="0056577B" w:rsidRDefault="008F4AA3" w:rsidP="0056577B">
            <w:pPr>
              <w:pStyle w:val="Tabletext"/>
              <w:jc w:val="center"/>
              <w:rPr>
                <w:sz w:val="22"/>
                <w:lang w:val="es-ES_tradnl"/>
              </w:rPr>
            </w:pPr>
            <w:r w:rsidRPr="0056577B">
              <w:rPr>
                <w:sz w:val="22"/>
                <w:lang w:val="es-ES_tradnl"/>
              </w:rPr>
              <w:t>1.9</w:t>
            </w:r>
          </w:p>
        </w:tc>
        <w:tc>
          <w:tcPr>
            <w:tcW w:w="1859" w:type="dxa"/>
            <w:vAlign w:val="center"/>
          </w:tcPr>
          <w:p w14:paraId="1EAD1E78" w14:textId="77777777" w:rsidR="008F4AA3" w:rsidRPr="0056577B" w:rsidRDefault="008F4AA3" w:rsidP="0056577B">
            <w:pPr>
              <w:pStyle w:val="Tabletext"/>
              <w:jc w:val="center"/>
              <w:rPr>
                <w:sz w:val="22"/>
                <w:lang w:val="es-ES_tradnl"/>
              </w:rPr>
            </w:pPr>
            <w:r w:rsidRPr="0056577B">
              <w:rPr>
                <w:sz w:val="22"/>
                <w:lang w:val="es-ES_tradnl"/>
              </w:rPr>
              <w:t>411 (CMR</w:t>
            </w:r>
            <w:r w:rsidRPr="0056577B">
              <w:rPr>
                <w:sz w:val="22"/>
                <w:lang w:val="es-ES_tradnl"/>
              </w:rPr>
              <w:noBreakHyphen/>
              <w:t>23)</w:t>
            </w:r>
          </w:p>
        </w:tc>
        <w:tc>
          <w:tcPr>
            <w:tcW w:w="1509" w:type="dxa"/>
            <w:vAlign w:val="center"/>
          </w:tcPr>
          <w:p w14:paraId="72769F8F" w14:textId="77777777" w:rsidR="008F4AA3" w:rsidRPr="0056577B" w:rsidRDefault="008F4AA3" w:rsidP="0056577B">
            <w:pPr>
              <w:pStyle w:val="Tabletext"/>
              <w:jc w:val="center"/>
              <w:rPr>
                <w:sz w:val="22"/>
                <w:lang w:val="es-ES_tradnl"/>
              </w:rPr>
            </w:pPr>
            <w:r w:rsidRPr="0056577B">
              <w:rPr>
                <w:sz w:val="22"/>
                <w:lang w:val="es-ES_tradnl"/>
              </w:rPr>
              <w:t>GT 5B</w:t>
            </w:r>
          </w:p>
        </w:tc>
        <w:tc>
          <w:tcPr>
            <w:tcW w:w="4712" w:type="dxa"/>
            <w:vAlign w:val="center"/>
          </w:tcPr>
          <w:p w14:paraId="4BD4131B" w14:textId="77777777" w:rsidR="008F4AA3" w:rsidRPr="00C90C5E" w:rsidRDefault="008F4AA3" w:rsidP="0056577B">
            <w:pPr>
              <w:pStyle w:val="Tabletext"/>
              <w:jc w:val="center"/>
              <w:rPr>
                <w:sz w:val="22"/>
                <w:lang w:val="fr-FR"/>
              </w:rPr>
            </w:pPr>
            <w:r w:rsidRPr="00C90C5E">
              <w:rPr>
                <w:sz w:val="22"/>
                <w:lang w:val="fr-FR"/>
              </w:rPr>
              <w:t>GT 3L; GT 5C; GT 6A; GT 7A</w:t>
            </w:r>
          </w:p>
        </w:tc>
      </w:tr>
      <w:tr w:rsidR="008F4AA3" w:rsidRPr="0061755E" w14:paraId="5E0A0D01" w14:textId="77777777" w:rsidTr="00073536">
        <w:trPr>
          <w:jc w:val="center"/>
        </w:trPr>
        <w:tc>
          <w:tcPr>
            <w:tcW w:w="1549" w:type="dxa"/>
            <w:vAlign w:val="center"/>
          </w:tcPr>
          <w:p w14:paraId="3A8BD115" w14:textId="77777777" w:rsidR="008F4AA3" w:rsidRPr="0056577B" w:rsidRDefault="008F4AA3" w:rsidP="00665FB3">
            <w:pPr>
              <w:pStyle w:val="Tabletext"/>
              <w:keepNext/>
              <w:jc w:val="center"/>
              <w:rPr>
                <w:sz w:val="22"/>
                <w:lang w:val="es-ES_tradnl"/>
              </w:rPr>
            </w:pPr>
            <w:r w:rsidRPr="0056577B">
              <w:rPr>
                <w:sz w:val="22"/>
                <w:lang w:val="es-ES_tradnl"/>
              </w:rPr>
              <w:lastRenderedPageBreak/>
              <w:t>1.10</w:t>
            </w:r>
          </w:p>
        </w:tc>
        <w:tc>
          <w:tcPr>
            <w:tcW w:w="1859" w:type="dxa"/>
            <w:vAlign w:val="center"/>
          </w:tcPr>
          <w:p w14:paraId="20E0DBD6" w14:textId="31C36E92" w:rsidR="008F4AA3" w:rsidRPr="0056577B" w:rsidRDefault="008F4AA3" w:rsidP="00665FB3">
            <w:pPr>
              <w:pStyle w:val="Tabletext"/>
              <w:keepNext/>
              <w:jc w:val="center"/>
              <w:rPr>
                <w:sz w:val="22"/>
                <w:lang w:val="es-ES_tradnl"/>
              </w:rPr>
            </w:pPr>
            <w:r w:rsidRPr="0056577B">
              <w:rPr>
                <w:sz w:val="22"/>
                <w:lang w:val="es-ES_tradnl"/>
              </w:rPr>
              <w:t>775</w:t>
            </w:r>
            <w:r w:rsidR="00912398" w:rsidRPr="0056577B">
              <w:rPr>
                <w:sz w:val="22"/>
                <w:lang w:val="es-ES_tradnl"/>
              </w:rPr>
              <w:br/>
            </w:r>
            <w:r w:rsidRPr="0056577B">
              <w:rPr>
                <w:sz w:val="22"/>
                <w:lang w:val="es-ES_tradnl"/>
              </w:rPr>
              <w:t>(Rev.CMR-23)</w:t>
            </w:r>
          </w:p>
        </w:tc>
        <w:tc>
          <w:tcPr>
            <w:tcW w:w="1509" w:type="dxa"/>
            <w:vAlign w:val="center"/>
          </w:tcPr>
          <w:p w14:paraId="6D5E65F9" w14:textId="77777777" w:rsidR="008F4AA3" w:rsidRPr="0056577B" w:rsidRDefault="008F4AA3" w:rsidP="00665FB3">
            <w:pPr>
              <w:pStyle w:val="Tabletext"/>
              <w:keepNext/>
              <w:jc w:val="center"/>
              <w:rPr>
                <w:sz w:val="22"/>
                <w:lang w:val="es-ES_tradnl"/>
              </w:rPr>
            </w:pPr>
            <w:r w:rsidRPr="0056577B">
              <w:rPr>
                <w:sz w:val="22"/>
                <w:lang w:val="es-ES_tradnl"/>
              </w:rPr>
              <w:t>GT 5C</w:t>
            </w:r>
            <w:r w:rsidRPr="0056577B">
              <w:rPr>
                <w:rStyle w:val="FootnoteReference"/>
                <w:position w:val="0"/>
                <w:sz w:val="22"/>
                <w:lang w:val="es-ES_tradnl"/>
              </w:rPr>
              <w:footnoteReference w:customMarkFollows="1" w:id="2"/>
              <w:t>*</w:t>
            </w:r>
          </w:p>
        </w:tc>
        <w:tc>
          <w:tcPr>
            <w:tcW w:w="4712" w:type="dxa"/>
            <w:vAlign w:val="center"/>
          </w:tcPr>
          <w:p w14:paraId="597AFB5D" w14:textId="77777777" w:rsidR="008F4AA3" w:rsidRPr="00C90C5E" w:rsidRDefault="008F4AA3" w:rsidP="00665FB3">
            <w:pPr>
              <w:pStyle w:val="Tabletext"/>
              <w:keepNext/>
              <w:jc w:val="center"/>
              <w:rPr>
                <w:sz w:val="22"/>
                <w:lang w:val="fr-FR"/>
              </w:rPr>
            </w:pPr>
            <w:r w:rsidRPr="00C90C5E">
              <w:rPr>
                <w:sz w:val="22"/>
                <w:lang w:val="fr-FR"/>
              </w:rPr>
              <w:t>GT 3J; GT 3M; GT 4A*; GT 4B; GT 4C*; GT 5A*; GT 5B; GT 6A; GT 7C; GT 7D</w:t>
            </w:r>
          </w:p>
        </w:tc>
      </w:tr>
      <w:tr w:rsidR="008F4AA3" w:rsidRPr="0061755E" w14:paraId="4893B7AE" w14:textId="77777777" w:rsidTr="00073536">
        <w:trPr>
          <w:jc w:val="center"/>
        </w:trPr>
        <w:tc>
          <w:tcPr>
            <w:tcW w:w="1549" w:type="dxa"/>
            <w:vAlign w:val="center"/>
          </w:tcPr>
          <w:p w14:paraId="42A1C09F" w14:textId="77777777" w:rsidR="008F4AA3" w:rsidRPr="0056577B" w:rsidRDefault="008F4AA3" w:rsidP="0056577B">
            <w:pPr>
              <w:pStyle w:val="Tabletext"/>
              <w:jc w:val="center"/>
              <w:rPr>
                <w:sz w:val="22"/>
                <w:lang w:val="es-ES_tradnl"/>
              </w:rPr>
            </w:pPr>
            <w:r w:rsidRPr="0056577B">
              <w:rPr>
                <w:sz w:val="22"/>
                <w:lang w:val="es-ES_tradnl"/>
              </w:rPr>
              <w:t>1.11</w:t>
            </w:r>
          </w:p>
        </w:tc>
        <w:tc>
          <w:tcPr>
            <w:tcW w:w="1859" w:type="dxa"/>
            <w:vAlign w:val="center"/>
          </w:tcPr>
          <w:p w14:paraId="526764C2" w14:textId="0AA7FE12" w:rsidR="008F4AA3" w:rsidRPr="0056577B" w:rsidRDefault="008F4AA3" w:rsidP="0056577B">
            <w:pPr>
              <w:pStyle w:val="Tabletext"/>
              <w:jc w:val="center"/>
              <w:rPr>
                <w:sz w:val="22"/>
                <w:lang w:val="es-ES_tradnl"/>
              </w:rPr>
            </w:pPr>
            <w:r w:rsidRPr="0056577B">
              <w:rPr>
                <w:sz w:val="22"/>
                <w:lang w:val="es-ES_tradnl"/>
              </w:rPr>
              <w:t>249</w:t>
            </w:r>
            <w:r w:rsidR="00912398" w:rsidRPr="0056577B">
              <w:rPr>
                <w:sz w:val="22"/>
                <w:lang w:val="es-ES_tradnl"/>
              </w:rPr>
              <w:br/>
            </w:r>
            <w:r w:rsidRPr="0056577B">
              <w:rPr>
                <w:sz w:val="22"/>
                <w:lang w:val="es-ES_tradnl"/>
              </w:rPr>
              <w:t>(Rev.CMR-23)</w:t>
            </w:r>
          </w:p>
        </w:tc>
        <w:tc>
          <w:tcPr>
            <w:tcW w:w="1509" w:type="dxa"/>
            <w:vAlign w:val="center"/>
          </w:tcPr>
          <w:p w14:paraId="63914DE0" w14:textId="77777777" w:rsidR="008F4AA3" w:rsidRPr="0056577B" w:rsidRDefault="008F4AA3" w:rsidP="0056577B">
            <w:pPr>
              <w:pStyle w:val="Tabletext"/>
              <w:jc w:val="center"/>
              <w:rPr>
                <w:sz w:val="22"/>
                <w:lang w:val="es-ES_tradnl"/>
              </w:rPr>
            </w:pPr>
            <w:r w:rsidRPr="0056577B">
              <w:rPr>
                <w:sz w:val="22"/>
                <w:lang w:val="es-ES_tradnl"/>
              </w:rPr>
              <w:t>GT 4C</w:t>
            </w:r>
          </w:p>
        </w:tc>
        <w:tc>
          <w:tcPr>
            <w:tcW w:w="4712" w:type="dxa"/>
            <w:vAlign w:val="center"/>
          </w:tcPr>
          <w:p w14:paraId="58657DB0" w14:textId="77777777" w:rsidR="008F4AA3" w:rsidRPr="00C90C5E" w:rsidRDefault="008F4AA3" w:rsidP="0056577B">
            <w:pPr>
              <w:pStyle w:val="Tabletext"/>
              <w:jc w:val="center"/>
              <w:rPr>
                <w:sz w:val="22"/>
                <w:lang w:val="fr-FR"/>
              </w:rPr>
            </w:pPr>
            <w:r w:rsidRPr="00C90C5E">
              <w:rPr>
                <w:sz w:val="22"/>
                <w:lang w:val="fr-FR"/>
              </w:rPr>
              <w:t>GT 3L; GT 3M; GT 4A; GT 4B; GT 5A; GT 5B; GT 5C; GT 5D; GT 7B; GT 7C; GT 7D</w:t>
            </w:r>
          </w:p>
        </w:tc>
      </w:tr>
      <w:tr w:rsidR="008F4AA3" w:rsidRPr="0061755E" w14:paraId="0B48B623" w14:textId="77777777" w:rsidTr="00073536">
        <w:trPr>
          <w:jc w:val="center"/>
        </w:trPr>
        <w:tc>
          <w:tcPr>
            <w:tcW w:w="1549" w:type="dxa"/>
            <w:vAlign w:val="center"/>
          </w:tcPr>
          <w:p w14:paraId="65FA79E2" w14:textId="77777777" w:rsidR="008F4AA3" w:rsidRPr="0056577B" w:rsidRDefault="008F4AA3" w:rsidP="0056577B">
            <w:pPr>
              <w:pStyle w:val="Tabletext"/>
              <w:jc w:val="center"/>
              <w:rPr>
                <w:sz w:val="22"/>
                <w:lang w:val="es-ES_tradnl"/>
              </w:rPr>
            </w:pPr>
            <w:r w:rsidRPr="0056577B">
              <w:rPr>
                <w:sz w:val="22"/>
                <w:lang w:val="es-ES_tradnl"/>
              </w:rPr>
              <w:t>1.12</w:t>
            </w:r>
          </w:p>
        </w:tc>
        <w:tc>
          <w:tcPr>
            <w:tcW w:w="1859" w:type="dxa"/>
            <w:vAlign w:val="center"/>
          </w:tcPr>
          <w:p w14:paraId="5522AD9D" w14:textId="77777777" w:rsidR="008F4AA3" w:rsidRPr="0056577B" w:rsidRDefault="008F4AA3" w:rsidP="0056577B">
            <w:pPr>
              <w:pStyle w:val="Tabletext"/>
              <w:jc w:val="center"/>
              <w:rPr>
                <w:sz w:val="22"/>
                <w:lang w:val="es-ES_tradnl"/>
              </w:rPr>
            </w:pPr>
            <w:r w:rsidRPr="0056577B">
              <w:rPr>
                <w:sz w:val="22"/>
                <w:lang w:val="es-ES_tradnl"/>
              </w:rPr>
              <w:t>252 (CMR</w:t>
            </w:r>
            <w:r w:rsidRPr="0056577B">
              <w:rPr>
                <w:sz w:val="22"/>
                <w:lang w:val="es-ES_tradnl"/>
              </w:rPr>
              <w:noBreakHyphen/>
              <w:t>23)</w:t>
            </w:r>
          </w:p>
        </w:tc>
        <w:tc>
          <w:tcPr>
            <w:tcW w:w="1509" w:type="dxa"/>
            <w:vAlign w:val="center"/>
          </w:tcPr>
          <w:p w14:paraId="2E6B4A0F" w14:textId="77777777" w:rsidR="008F4AA3" w:rsidRPr="0056577B" w:rsidRDefault="008F4AA3" w:rsidP="0056577B">
            <w:pPr>
              <w:pStyle w:val="Tabletext"/>
              <w:jc w:val="center"/>
              <w:rPr>
                <w:sz w:val="22"/>
                <w:lang w:val="es-ES_tradnl"/>
              </w:rPr>
            </w:pPr>
            <w:r w:rsidRPr="0056577B">
              <w:rPr>
                <w:sz w:val="22"/>
                <w:lang w:val="es-ES_tradnl"/>
              </w:rPr>
              <w:t>GT 4C</w:t>
            </w:r>
          </w:p>
        </w:tc>
        <w:tc>
          <w:tcPr>
            <w:tcW w:w="4712" w:type="dxa"/>
            <w:vAlign w:val="center"/>
          </w:tcPr>
          <w:p w14:paraId="6504FC1C" w14:textId="77777777" w:rsidR="008F4AA3" w:rsidRPr="0056577B" w:rsidRDefault="008F4AA3" w:rsidP="0056577B">
            <w:pPr>
              <w:pStyle w:val="Tabletext"/>
              <w:jc w:val="center"/>
              <w:rPr>
                <w:sz w:val="22"/>
                <w:lang w:val="es-ES_tradnl"/>
              </w:rPr>
            </w:pPr>
            <w:r w:rsidRPr="0056577B">
              <w:rPr>
                <w:sz w:val="22"/>
                <w:lang w:val="es-ES_tradnl"/>
              </w:rPr>
              <w:t xml:space="preserve">GT 3L; GT 3M; GT 4B </w:t>
            </w:r>
            <w:r w:rsidRPr="0056577B">
              <w:rPr>
                <w:sz w:val="22"/>
                <w:lang w:val="es-ES_tradnl"/>
              </w:rPr>
              <w:br/>
              <w:t xml:space="preserve">(el GT 4B debe facilitar información sobre el futuro desarrollo de sistemas no OSG del SMS de baja velocidad de datos); </w:t>
            </w:r>
            <w:r w:rsidRPr="0056577B">
              <w:rPr>
                <w:sz w:val="22"/>
                <w:lang w:val="es-ES_tradnl"/>
              </w:rPr>
              <w:br/>
              <w:t>GT 5A; GT 5B; GT 5C; GT 5D; GT 7B; GT 7C; GT 7D</w:t>
            </w:r>
          </w:p>
        </w:tc>
      </w:tr>
      <w:tr w:rsidR="008F4AA3" w:rsidRPr="0061755E" w14:paraId="531B3DEF" w14:textId="77777777" w:rsidTr="00073536">
        <w:trPr>
          <w:jc w:val="center"/>
        </w:trPr>
        <w:tc>
          <w:tcPr>
            <w:tcW w:w="1549" w:type="dxa"/>
            <w:vAlign w:val="center"/>
          </w:tcPr>
          <w:p w14:paraId="7F8008C5" w14:textId="77777777" w:rsidR="008F4AA3" w:rsidRPr="0056577B" w:rsidRDefault="008F4AA3" w:rsidP="0056577B">
            <w:pPr>
              <w:pStyle w:val="Tabletext"/>
              <w:jc w:val="center"/>
              <w:rPr>
                <w:sz w:val="22"/>
                <w:lang w:val="es-ES_tradnl"/>
              </w:rPr>
            </w:pPr>
            <w:r w:rsidRPr="0056577B">
              <w:rPr>
                <w:sz w:val="22"/>
                <w:lang w:val="es-ES_tradnl"/>
              </w:rPr>
              <w:t>1.13</w:t>
            </w:r>
          </w:p>
        </w:tc>
        <w:tc>
          <w:tcPr>
            <w:tcW w:w="1859" w:type="dxa"/>
            <w:vAlign w:val="center"/>
          </w:tcPr>
          <w:p w14:paraId="6DDD6646" w14:textId="77777777" w:rsidR="008F4AA3" w:rsidRPr="0056577B" w:rsidRDefault="008F4AA3" w:rsidP="0056577B">
            <w:pPr>
              <w:pStyle w:val="Tabletext"/>
              <w:jc w:val="center"/>
              <w:rPr>
                <w:sz w:val="22"/>
                <w:lang w:val="es-ES_tradnl"/>
              </w:rPr>
            </w:pPr>
            <w:r w:rsidRPr="0056577B">
              <w:rPr>
                <w:sz w:val="22"/>
                <w:lang w:val="es-ES_tradnl"/>
              </w:rPr>
              <w:t>253 (CMR</w:t>
            </w:r>
            <w:r w:rsidRPr="0056577B">
              <w:rPr>
                <w:sz w:val="22"/>
                <w:lang w:val="es-ES_tradnl"/>
              </w:rPr>
              <w:noBreakHyphen/>
              <w:t>23)</w:t>
            </w:r>
          </w:p>
        </w:tc>
        <w:tc>
          <w:tcPr>
            <w:tcW w:w="1509" w:type="dxa"/>
            <w:vAlign w:val="center"/>
          </w:tcPr>
          <w:p w14:paraId="61A97D3E" w14:textId="77777777" w:rsidR="008F4AA3" w:rsidRPr="0056577B" w:rsidRDefault="008F4AA3" w:rsidP="0056577B">
            <w:pPr>
              <w:pStyle w:val="Tabletext"/>
              <w:jc w:val="center"/>
              <w:rPr>
                <w:sz w:val="22"/>
                <w:lang w:val="es-ES_tradnl"/>
              </w:rPr>
            </w:pPr>
            <w:r w:rsidRPr="0056577B">
              <w:rPr>
                <w:sz w:val="22"/>
                <w:lang w:val="es-ES_tradnl"/>
              </w:rPr>
              <w:t>GT 4C</w:t>
            </w:r>
            <w:r w:rsidRPr="0056577B">
              <w:rPr>
                <w:rStyle w:val="FootnoteReference"/>
                <w:position w:val="0"/>
                <w:sz w:val="22"/>
                <w:lang w:val="es-ES_tradnl"/>
              </w:rPr>
              <w:footnoteReference w:customMarkFollows="1" w:id="3"/>
              <w:t>*</w:t>
            </w:r>
          </w:p>
        </w:tc>
        <w:tc>
          <w:tcPr>
            <w:tcW w:w="4712" w:type="dxa"/>
            <w:vAlign w:val="center"/>
          </w:tcPr>
          <w:p w14:paraId="3E36B06E" w14:textId="77777777" w:rsidR="008F4AA3" w:rsidRPr="00C90C5E" w:rsidRDefault="008F4AA3" w:rsidP="0056577B">
            <w:pPr>
              <w:pStyle w:val="Tabletext"/>
              <w:jc w:val="center"/>
              <w:rPr>
                <w:sz w:val="22"/>
                <w:lang w:val="fr-FR"/>
              </w:rPr>
            </w:pPr>
            <w:r w:rsidRPr="00C90C5E">
              <w:rPr>
                <w:sz w:val="22"/>
                <w:lang w:val="fr-FR"/>
              </w:rPr>
              <w:t>GT 3L; GT 3M; GT 4A; GT 4B; GT 5A; GT 5B; GT 5C; GT 5D*; GT 6A; GT 7B; GT 7C; GT 7D</w:t>
            </w:r>
          </w:p>
        </w:tc>
      </w:tr>
      <w:tr w:rsidR="008F4AA3" w:rsidRPr="0061755E" w14:paraId="2142AE9E" w14:textId="77777777" w:rsidTr="00073536">
        <w:trPr>
          <w:jc w:val="center"/>
        </w:trPr>
        <w:tc>
          <w:tcPr>
            <w:tcW w:w="1549" w:type="dxa"/>
            <w:vAlign w:val="center"/>
          </w:tcPr>
          <w:p w14:paraId="5723C8B9" w14:textId="77777777" w:rsidR="008F4AA3" w:rsidRPr="0056577B" w:rsidRDefault="008F4AA3" w:rsidP="0056577B">
            <w:pPr>
              <w:pStyle w:val="Tabletext"/>
              <w:jc w:val="center"/>
              <w:rPr>
                <w:sz w:val="22"/>
                <w:lang w:val="es-ES_tradnl"/>
              </w:rPr>
            </w:pPr>
            <w:r w:rsidRPr="0056577B">
              <w:rPr>
                <w:sz w:val="22"/>
                <w:lang w:val="es-ES_tradnl"/>
              </w:rPr>
              <w:t>1.14</w:t>
            </w:r>
          </w:p>
        </w:tc>
        <w:tc>
          <w:tcPr>
            <w:tcW w:w="1859" w:type="dxa"/>
            <w:vAlign w:val="center"/>
          </w:tcPr>
          <w:p w14:paraId="12D84550" w14:textId="77777777" w:rsidR="008F4AA3" w:rsidRPr="0056577B" w:rsidRDefault="008F4AA3" w:rsidP="0056577B">
            <w:pPr>
              <w:pStyle w:val="Tabletext"/>
              <w:jc w:val="center"/>
              <w:rPr>
                <w:sz w:val="22"/>
                <w:lang w:val="es-ES_tradnl"/>
              </w:rPr>
            </w:pPr>
            <w:r w:rsidRPr="0056577B">
              <w:rPr>
                <w:sz w:val="22"/>
                <w:lang w:val="es-ES_tradnl"/>
              </w:rPr>
              <w:t>254 (CMR</w:t>
            </w:r>
            <w:r w:rsidRPr="0056577B">
              <w:rPr>
                <w:sz w:val="22"/>
                <w:lang w:val="es-ES_tradnl"/>
              </w:rPr>
              <w:noBreakHyphen/>
              <w:t>23)</w:t>
            </w:r>
          </w:p>
        </w:tc>
        <w:tc>
          <w:tcPr>
            <w:tcW w:w="1509" w:type="dxa"/>
            <w:vAlign w:val="center"/>
          </w:tcPr>
          <w:p w14:paraId="0DE7DB51" w14:textId="77777777" w:rsidR="008F4AA3" w:rsidRPr="0056577B" w:rsidRDefault="008F4AA3" w:rsidP="0056577B">
            <w:pPr>
              <w:pStyle w:val="Tabletext"/>
              <w:jc w:val="center"/>
              <w:rPr>
                <w:sz w:val="22"/>
                <w:lang w:val="es-ES_tradnl"/>
              </w:rPr>
            </w:pPr>
            <w:r w:rsidRPr="0056577B">
              <w:rPr>
                <w:sz w:val="22"/>
                <w:lang w:val="es-ES_tradnl"/>
              </w:rPr>
              <w:t>GT 4C</w:t>
            </w:r>
          </w:p>
        </w:tc>
        <w:tc>
          <w:tcPr>
            <w:tcW w:w="4712" w:type="dxa"/>
            <w:vAlign w:val="center"/>
          </w:tcPr>
          <w:p w14:paraId="12D57052" w14:textId="77777777" w:rsidR="008F4AA3" w:rsidRPr="00C90C5E" w:rsidRDefault="008F4AA3" w:rsidP="0056577B">
            <w:pPr>
              <w:pStyle w:val="Tabletext"/>
              <w:jc w:val="center"/>
              <w:rPr>
                <w:sz w:val="22"/>
                <w:lang w:val="fr-FR"/>
              </w:rPr>
            </w:pPr>
            <w:r w:rsidRPr="00C90C5E">
              <w:rPr>
                <w:sz w:val="22"/>
                <w:lang w:val="fr-FR"/>
              </w:rPr>
              <w:t>GT 3L; GT 3M; GT 4B; GT 5A; GT 5C; GT 5D; GT 7B</w:t>
            </w:r>
          </w:p>
        </w:tc>
      </w:tr>
      <w:tr w:rsidR="008F4AA3" w:rsidRPr="0061755E" w14:paraId="3EBD0146" w14:textId="77777777" w:rsidTr="00073536">
        <w:trPr>
          <w:jc w:val="center"/>
        </w:trPr>
        <w:tc>
          <w:tcPr>
            <w:tcW w:w="1549" w:type="dxa"/>
            <w:vAlign w:val="center"/>
          </w:tcPr>
          <w:p w14:paraId="1631990D" w14:textId="77777777" w:rsidR="008F4AA3" w:rsidRPr="0056577B" w:rsidRDefault="008F4AA3" w:rsidP="0056577B">
            <w:pPr>
              <w:pStyle w:val="Tabletext"/>
              <w:jc w:val="center"/>
              <w:rPr>
                <w:sz w:val="22"/>
                <w:lang w:val="es-ES_tradnl"/>
              </w:rPr>
            </w:pPr>
            <w:r w:rsidRPr="0056577B">
              <w:rPr>
                <w:sz w:val="22"/>
                <w:lang w:val="es-ES_tradnl"/>
              </w:rPr>
              <w:t>1.15</w:t>
            </w:r>
          </w:p>
        </w:tc>
        <w:tc>
          <w:tcPr>
            <w:tcW w:w="1859" w:type="dxa"/>
            <w:vAlign w:val="center"/>
          </w:tcPr>
          <w:p w14:paraId="07C93D4D" w14:textId="77777777" w:rsidR="008F4AA3" w:rsidRPr="0056577B" w:rsidRDefault="008F4AA3" w:rsidP="0056577B">
            <w:pPr>
              <w:pStyle w:val="Tabletext"/>
              <w:jc w:val="center"/>
              <w:rPr>
                <w:sz w:val="22"/>
                <w:lang w:val="es-ES_tradnl"/>
              </w:rPr>
            </w:pPr>
            <w:r w:rsidRPr="0056577B">
              <w:rPr>
                <w:sz w:val="22"/>
                <w:lang w:val="es-ES_tradnl"/>
              </w:rPr>
              <w:t>680 (CMR</w:t>
            </w:r>
            <w:r w:rsidRPr="0056577B">
              <w:rPr>
                <w:sz w:val="22"/>
                <w:lang w:val="es-ES_tradnl"/>
              </w:rPr>
              <w:noBreakHyphen/>
              <w:t>23)</w:t>
            </w:r>
          </w:p>
        </w:tc>
        <w:tc>
          <w:tcPr>
            <w:tcW w:w="1509" w:type="dxa"/>
            <w:vAlign w:val="center"/>
          </w:tcPr>
          <w:p w14:paraId="4E416194" w14:textId="77777777" w:rsidR="008F4AA3" w:rsidRPr="0056577B" w:rsidRDefault="008F4AA3" w:rsidP="0056577B">
            <w:pPr>
              <w:pStyle w:val="Tabletext"/>
              <w:jc w:val="center"/>
              <w:rPr>
                <w:sz w:val="22"/>
                <w:lang w:val="es-ES_tradnl"/>
              </w:rPr>
            </w:pPr>
            <w:r w:rsidRPr="0056577B">
              <w:rPr>
                <w:sz w:val="22"/>
                <w:lang w:val="es-ES_tradnl"/>
              </w:rPr>
              <w:t>GT 7B</w:t>
            </w:r>
          </w:p>
        </w:tc>
        <w:tc>
          <w:tcPr>
            <w:tcW w:w="4712" w:type="dxa"/>
            <w:vAlign w:val="center"/>
          </w:tcPr>
          <w:p w14:paraId="3D4943DB" w14:textId="77777777" w:rsidR="008F4AA3" w:rsidRPr="00C90C5E" w:rsidRDefault="008F4AA3" w:rsidP="0056577B">
            <w:pPr>
              <w:pStyle w:val="Tabletext"/>
              <w:jc w:val="center"/>
              <w:rPr>
                <w:sz w:val="22"/>
                <w:lang w:val="fr-FR"/>
              </w:rPr>
            </w:pPr>
            <w:r w:rsidRPr="00C90C5E">
              <w:rPr>
                <w:sz w:val="22"/>
                <w:lang w:val="fr-FR"/>
              </w:rPr>
              <w:t>GT 3J; GT 4A; GT 4C; GT 5A; GT 5B; GT 5C; GT 5D; GT 7A; GT 7C; GT 7D</w:t>
            </w:r>
          </w:p>
        </w:tc>
      </w:tr>
      <w:tr w:rsidR="008F4AA3" w:rsidRPr="0061755E" w14:paraId="65FFDD7D" w14:textId="77777777" w:rsidTr="00073536">
        <w:trPr>
          <w:jc w:val="center"/>
        </w:trPr>
        <w:tc>
          <w:tcPr>
            <w:tcW w:w="1549" w:type="dxa"/>
            <w:vAlign w:val="center"/>
          </w:tcPr>
          <w:p w14:paraId="73E6B6AA" w14:textId="77777777" w:rsidR="008F4AA3" w:rsidRPr="0056577B" w:rsidRDefault="008F4AA3" w:rsidP="0056577B">
            <w:pPr>
              <w:pStyle w:val="Tabletext"/>
              <w:jc w:val="center"/>
              <w:rPr>
                <w:sz w:val="22"/>
                <w:lang w:val="es-ES_tradnl"/>
              </w:rPr>
            </w:pPr>
            <w:r w:rsidRPr="0056577B">
              <w:rPr>
                <w:sz w:val="22"/>
                <w:lang w:val="es-ES_tradnl"/>
              </w:rPr>
              <w:t>1.16</w:t>
            </w:r>
          </w:p>
        </w:tc>
        <w:tc>
          <w:tcPr>
            <w:tcW w:w="1859" w:type="dxa"/>
            <w:vAlign w:val="center"/>
          </w:tcPr>
          <w:p w14:paraId="74FA8899" w14:textId="77777777" w:rsidR="008F4AA3" w:rsidRPr="0056577B" w:rsidRDefault="008F4AA3" w:rsidP="0056577B">
            <w:pPr>
              <w:pStyle w:val="Tabletext"/>
              <w:jc w:val="center"/>
              <w:rPr>
                <w:sz w:val="22"/>
                <w:lang w:val="es-ES_tradnl"/>
              </w:rPr>
            </w:pPr>
            <w:r w:rsidRPr="0056577B">
              <w:rPr>
                <w:sz w:val="22"/>
                <w:lang w:val="es-ES_tradnl"/>
              </w:rPr>
              <w:t>681 (CMR</w:t>
            </w:r>
            <w:r w:rsidRPr="0056577B">
              <w:rPr>
                <w:sz w:val="22"/>
                <w:lang w:val="es-ES_tradnl"/>
              </w:rPr>
              <w:noBreakHyphen/>
              <w:t>23)</w:t>
            </w:r>
          </w:p>
        </w:tc>
        <w:tc>
          <w:tcPr>
            <w:tcW w:w="1509" w:type="dxa"/>
            <w:vAlign w:val="center"/>
          </w:tcPr>
          <w:p w14:paraId="4A5744B3" w14:textId="77777777" w:rsidR="008F4AA3" w:rsidRPr="0056577B" w:rsidRDefault="008F4AA3" w:rsidP="0056577B">
            <w:pPr>
              <w:pStyle w:val="Tabletext"/>
              <w:jc w:val="center"/>
              <w:rPr>
                <w:sz w:val="22"/>
                <w:lang w:val="es-ES_tradnl"/>
              </w:rPr>
            </w:pPr>
            <w:r w:rsidRPr="0056577B">
              <w:rPr>
                <w:sz w:val="22"/>
                <w:lang w:val="es-ES_tradnl"/>
              </w:rPr>
              <w:t>GT 7D</w:t>
            </w:r>
          </w:p>
        </w:tc>
        <w:tc>
          <w:tcPr>
            <w:tcW w:w="4712" w:type="dxa"/>
            <w:vAlign w:val="center"/>
          </w:tcPr>
          <w:p w14:paraId="10F36F41" w14:textId="77777777" w:rsidR="008F4AA3" w:rsidRPr="00C90C5E" w:rsidRDefault="008F4AA3" w:rsidP="0056577B">
            <w:pPr>
              <w:pStyle w:val="Tabletext"/>
              <w:jc w:val="center"/>
              <w:rPr>
                <w:sz w:val="22"/>
                <w:lang w:val="fr-FR"/>
              </w:rPr>
            </w:pPr>
            <w:r w:rsidRPr="00C90C5E">
              <w:rPr>
                <w:sz w:val="22"/>
                <w:lang w:val="fr-FR"/>
              </w:rPr>
              <w:t>GT 3J; GT 3M; GT 4A; GT 4C; GT 5A; GT 5B; GT 5D</w:t>
            </w:r>
          </w:p>
        </w:tc>
      </w:tr>
      <w:tr w:rsidR="008F4AA3" w:rsidRPr="0061755E" w14:paraId="1D31FB95" w14:textId="77777777" w:rsidTr="00073536">
        <w:trPr>
          <w:jc w:val="center"/>
        </w:trPr>
        <w:tc>
          <w:tcPr>
            <w:tcW w:w="1549" w:type="dxa"/>
            <w:vAlign w:val="center"/>
          </w:tcPr>
          <w:p w14:paraId="23E0EC30" w14:textId="77777777" w:rsidR="008F4AA3" w:rsidRPr="0056577B" w:rsidRDefault="008F4AA3" w:rsidP="0056577B">
            <w:pPr>
              <w:pStyle w:val="Tabletext"/>
              <w:jc w:val="center"/>
              <w:rPr>
                <w:sz w:val="22"/>
                <w:lang w:val="es-ES_tradnl"/>
              </w:rPr>
            </w:pPr>
            <w:r w:rsidRPr="0056577B">
              <w:rPr>
                <w:sz w:val="22"/>
                <w:lang w:val="es-ES_tradnl"/>
              </w:rPr>
              <w:t>1.17</w:t>
            </w:r>
          </w:p>
        </w:tc>
        <w:tc>
          <w:tcPr>
            <w:tcW w:w="1859" w:type="dxa"/>
            <w:vAlign w:val="center"/>
          </w:tcPr>
          <w:p w14:paraId="06D1B6DF" w14:textId="77777777" w:rsidR="008F4AA3" w:rsidRPr="0056577B" w:rsidRDefault="008F4AA3" w:rsidP="0056577B">
            <w:pPr>
              <w:pStyle w:val="Tabletext"/>
              <w:jc w:val="center"/>
              <w:rPr>
                <w:sz w:val="22"/>
                <w:lang w:val="es-ES_tradnl"/>
              </w:rPr>
            </w:pPr>
            <w:r w:rsidRPr="0056577B">
              <w:rPr>
                <w:sz w:val="22"/>
                <w:lang w:val="es-ES_tradnl"/>
              </w:rPr>
              <w:t>682 (CMR</w:t>
            </w:r>
            <w:r w:rsidRPr="0056577B">
              <w:rPr>
                <w:sz w:val="22"/>
                <w:lang w:val="es-ES_tradnl"/>
              </w:rPr>
              <w:noBreakHyphen/>
              <w:t>23)</w:t>
            </w:r>
          </w:p>
        </w:tc>
        <w:tc>
          <w:tcPr>
            <w:tcW w:w="1509" w:type="dxa"/>
            <w:vAlign w:val="center"/>
          </w:tcPr>
          <w:p w14:paraId="36613CCA" w14:textId="77777777" w:rsidR="008F4AA3" w:rsidRPr="0056577B" w:rsidRDefault="008F4AA3" w:rsidP="0056577B">
            <w:pPr>
              <w:pStyle w:val="Tabletext"/>
              <w:jc w:val="center"/>
              <w:rPr>
                <w:sz w:val="22"/>
                <w:lang w:val="es-ES_tradnl"/>
              </w:rPr>
            </w:pPr>
            <w:r w:rsidRPr="0056577B">
              <w:rPr>
                <w:sz w:val="22"/>
                <w:lang w:val="es-ES_tradnl"/>
              </w:rPr>
              <w:t>GT 7C</w:t>
            </w:r>
          </w:p>
        </w:tc>
        <w:tc>
          <w:tcPr>
            <w:tcW w:w="4712" w:type="dxa"/>
            <w:vAlign w:val="center"/>
          </w:tcPr>
          <w:p w14:paraId="4B65D890" w14:textId="77777777" w:rsidR="008F4AA3" w:rsidRPr="00C90C5E" w:rsidRDefault="008F4AA3" w:rsidP="0056577B">
            <w:pPr>
              <w:pStyle w:val="Tabletext"/>
              <w:jc w:val="center"/>
              <w:rPr>
                <w:sz w:val="22"/>
                <w:lang w:val="fr-FR"/>
              </w:rPr>
            </w:pPr>
            <w:r w:rsidRPr="00C90C5E">
              <w:rPr>
                <w:sz w:val="22"/>
                <w:lang w:val="fr-FR"/>
              </w:rPr>
              <w:t>GT 3L; GT 3M; GT 4C; GT 5A; GT 5B; GT 5C; GT 5D; GT 6A; GT 7B; GT 7D</w:t>
            </w:r>
          </w:p>
        </w:tc>
      </w:tr>
      <w:tr w:rsidR="008F4AA3" w:rsidRPr="0061755E" w14:paraId="5311479D" w14:textId="77777777" w:rsidTr="00073536">
        <w:trPr>
          <w:jc w:val="center"/>
        </w:trPr>
        <w:tc>
          <w:tcPr>
            <w:tcW w:w="1549" w:type="dxa"/>
            <w:vAlign w:val="center"/>
          </w:tcPr>
          <w:p w14:paraId="218D52DB" w14:textId="77777777" w:rsidR="008F4AA3" w:rsidRPr="0056577B" w:rsidRDefault="008F4AA3" w:rsidP="0056577B">
            <w:pPr>
              <w:pStyle w:val="Tabletext"/>
              <w:jc w:val="center"/>
              <w:rPr>
                <w:sz w:val="22"/>
                <w:lang w:val="es-ES_tradnl"/>
              </w:rPr>
            </w:pPr>
            <w:r w:rsidRPr="0056577B">
              <w:rPr>
                <w:sz w:val="22"/>
                <w:lang w:val="es-ES_tradnl"/>
              </w:rPr>
              <w:t>1.18</w:t>
            </w:r>
          </w:p>
        </w:tc>
        <w:tc>
          <w:tcPr>
            <w:tcW w:w="1859" w:type="dxa"/>
            <w:vAlign w:val="center"/>
          </w:tcPr>
          <w:p w14:paraId="45B05939" w14:textId="77777777" w:rsidR="008F4AA3" w:rsidRPr="0056577B" w:rsidRDefault="008F4AA3" w:rsidP="0056577B">
            <w:pPr>
              <w:pStyle w:val="Tabletext"/>
              <w:jc w:val="center"/>
              <w:rPr>
                <w:sz w:val="22"/>
                <w:lang w:val="es-ES_tradnl"/>
              </w:rPr>
            </w:pPr>
            <w:r w:rsidRPr="0056577B">
              <w:rPr>
                <w:sz w:val="22"/>
                <w:lang w:val="es-ES_tradnl"/>
              </w:rPr>
              <w:t>712 (CMR</w:t>
            </w:r>
            <w:r w:rsidRPr="0056577B">
              <w:rPr>
                <w:sz w:val="22"/>
                <w:lang w:val="es-ES_tradnl"/>
              </w:rPr>
              <w:noBreakHyphen/>
              <w:t>23)</w:t>
            </w:r>
          </w:p>
        </w:tc>
        <w:tc>
          <w:tcPr>
            <w:tcW w:w="1509" w:type="dxa"/>
            <w:vAlign w:val="center"/>
          </w:tcPr>
          <w:p w14:paraId="195BCC5B" w14:textId="77777777" w:rsidR="008F4AA3" w:rsidRPr="0056577B" w:rsidRDefault="008F4AA3" w:rsidP="0056577B">
            <w:pPr>
              <w:pStyle w:val="Tabletext"/>
              <w:jc w:val="center"/>
              <w:rPr>
                <w:sz w:val="22"/>
                <w:lang w:val="es-ES_tradnl"/>
              </w:rPr>
            </w:pPr>
            <w:r w:rsidRPr="0056577B">
              <w:rPr>
                <w:sz w:val="22"/>
                <w:lang w:val="es-ES_tradnl"/>
              </w:rPr>
              <w:t>GT 7C</w:t>
            </w:r>
            <w:r w:rsidRPr="0056577B">
              <w:rPr>
                <w:sz w:val="22"/>
                <w:lang w:val="es-ES_tradnl"/>
              </w:rPr>
              <w:br/>
              <w:t>(</w:t>
            </w:r>
            <w:r w:rsidRPr="0056577B">
              <w:rPr>
                <w:i/>
                <w:iCs/>
                <w:sz w:val="22"/>
                <w:lang w:val="es-ES_tradnl"/>
              </w:rPr>
              <w:t>resuelve</w:t>
            </w:r>
            <w:r w:rsidRPr="0056577B">
              <w:rPr>
                <w:sz w:val="22"/>
                <w:lang w:val="es-ES_tradnl"/>
              </w:rPr>
              <w:t> 1)</w:t>
            </w:r>
          </w:p>
          <w:p w14:paraId="71BB8111" w14:textId="77777777" w:rsidR="008F4AA3" w:rsidRPr="0056577B" w:rsidRDefault="008F4AA3" w:rsidP="0056577B">
            <w:pPr>
              <w:pStyle w:val="Tabletext"/>
              <w:jc w:val="center"/>
              <w:rPr>
                <w:sz w:val="22"/>
                <w:lang w:val="es-ES_tradnl"/>
              </w:rPr>
            </w:pPr>
            <w:r w:rsidRPr="0056577B">
              <w:rPr>
                <w:sz w:val="22"/>
                <w:lang w:val="es-ES_tradnl"/>
              </w:rPr>
              <w:t>GT 7D</w:t>
            </w:r>
            <w:r w:rsidRPr="0056577B">
              <w:rPr>
                <w:sz w:val="22"/>
                <w:lang w:val="es-ES_tradnl"/>
              </w:rPr>
              <w:br/>
              <w:t>(</w:t>
            </w:r>
            <w:r w:rsidRPr="0056577B">
              <w:rPr>
                <w:i/>
                <w:iCs/>
                <w:sz w:val="22"/>
                <w:lang w:val="es-ES_tradnl"/>
              </w:rPr>
              <w:t>resuelve</w:t>
            </w:r>
            <w:r w:rsidRPr="0056577B">
              <w:rPr>
                <w:sz w:val="22"/>
                <w:lang w:val="es-ES_tradnl"/>
              </w:rPr>
              <w:t> 2)</w:t>
            </w:r>
          </w:p>
          <w:p w14:paraId="41536A5A" w14:textId="77777777" w:rsidR="008F4AA3" w:rsidRPr="0056577B" w:rsidRDefault="008F4AA3" w:rsidP="0056577B">
            <w:pPr>
              <w:pStyle w:val="Tabletext"/>
              <w:jc w:val="center"/>
              <w:rPr>
                <w:sz w:val="22"/>
                <w:lang w:val="es-ES_tradnl"/>
              </w:rPr>
            </w:pPr>
            <w:r w:rsidRPr="0056577B">
              <w:rPr>
                <w:rStyle w:val="FootnoteReference"/>
                <w:position w:val="0"/>
                <w:sz w:val="22"/>
                <w:lang w:val="es-ES_tradnl"/>
              </w:rPr>
              <w:t>(</w:t>
            </w:r>
            <w:r w:rsidRPr="0056577B">
              <w:rPr>
                <w:rStyle w:val="FootnoteReference"/>
                <w:position w:val="0"/>
                <w:sz w:val="22"/>
                <w:lang w:val="es-ES_tradnl"/>
              </w:rPr>
              <w:footnoteReference w:customMarkFollows="1" w:id="4"/>
              <w:t>Nota)</w:t>
            </w:r>
          </w:p>
        </w:tc>
        <w:tc>
          <w:tcPr>
            <w:tcW w:w="4712" w:type="dxa"/>
            <w:vAlign w:val="center"/>
          </w:tcPr>
          <w:p w14:paraId="3823DE3B" w14:textId="77777777" w:rsidR="008F4AA3" w:rsidRPr="00C90C5E" w:rsidRDefault="008F4AA3" w:rsidP="0056577B">
            <w:pPr>
              <w:pStyle w:val="Tabletext"/>
              <w:jc w:val="center"/>
              <w:rPr>
                <w:sz w:val="22"/>
                <w:lang w:val="fr-FR"/>
              </w:rPr>
            </w:pPr>
            <w:r w:rsidRPr="00C90C5E">
              <w:rPr>
                <w:sz w:val="22"/>
                <w:lang w:val="fr-FR"/>
              </w:rPr>
              <w:t>GT 3J</w:t>
            </w:r>
            <w:r w:rsidRPr="00C90C5E">
              <w:rPr>
                <w:rStyle w:val="FootnoteReference"/>
                <w:position w:val="0"/>
                <w:sz w:val="22"/>
                <w:lang w:val="fr-FR"/>
              </w:rPr>
              <w:footnoteReference w:customMarkFollows="1" w:id="5"/>
              <w:t>*</w:t>
            </w:r>
            <w:r w:rsidRPr="00C90C5E">
              <w:rPr>
                <w:sz w:val="22"/>
                <w:lang w:val="fr-FR"/>
              </w:rPr>
              <w:t>; GT 3M</w:t>
            </w:r>
            <w:r w:rsidRPr="00C90C5E">
              <w:rPr>
                <w:rStyle w:val="FootnoteReference"/>
                <w:rFonts w:eastAsia="Calibri"/>
                <w:position w:val="0"/>
                <w:sz w:val="22"/>
                <w:lang w:val="fr-FR"/>
              </w:rPr>
              <w:t>*</w:t>
            </w:r>
            <w:r w:rsidRPr="00C90C5E">
              <w:rPr>
                <w:sz w:val="22"/>
                <w:lang w:val="fr-FR"/>
              </w:rPr>
              <w:t>; GT 4A; GT 4C; GT 5A; GT 5B; GT 5C</w:t>
            </w:r>
          </w:p>
        </w:tc>
      </w:tr>
      <w:tr w:rsidR="008F4AA3" w:rsidRPr="0061755E" w14:paraId="7C98895C" w14:textId="77777777" w:rsidTr="00073536">
        <w:trPr>
          <w:jc w:val="center"/>
        </w:trPr>
        <w:tc>
          <w:tcPr>
            <w:tcW w:w="1549" w:type="dxa"/>
            <w:vAlign w:val="center"/>
          </w:tcPr>
          <w:p w14:paraId="58F52521" w14:textId="77777777" w:rsidR="008F4AA3" w:rsidRPr="0056577B" w:rsidRDefault="008F4AA3" w:rsidP="0056577B">
            <w:pPr>
              <w:pStyle w:val="Tabletext"/>
              <w:jc w:val="center"/>
              <w:rPr>
                <w:sz w:val="22"/>
                <w:lang w:val="es-ES_tradnl"/>
              </w:rPr>
            </w:pPr>
            <w:r w:rsidRPr="0056577B">
              <w:rPr>
                <w:sz w:val="22"/>
                <w:lang w:val="es-ES_tradnl"/>
              </w:rPr>
              <w:t>1.19</w:t>
            </w:r>
          </w:p>
        </w:tc>
        <w:tc>
          <w:tcPr>
            <w:tcW w:w="1859" w:type="dxa"/>
            <w:vAlign w:val="center"/>
          </w:tcPr>
          <w:p w14:paraId="4F9E4DAF" w14:textId="77777777" w:rsidR="008F4AA3" w:rsidRPr="0056577B" w:rsidRDefault="008F4AA3" w:rsidP="0056577B">
            <w:pPr>
              <w:pStyle w:val="Tabletext"/>
              <w:jc w:val="center"/>
              <w:rPr>
                <w:sz w:val="22"/>
                <w:lang w:val="es-ES_tradnl"/>
              </w:rPr>
            </w:pPr>
            <w:r w:rsidRPr="0056577B">
              <w:rPr>
                <w:sz w:val="22"/>
                <w:lang w:val="es-ES_tradnl"/>
              </w:rPr>
              <w:t>674 (CMR</w:t>
            </w:r>
            <w:r w:rsidRPr="0056577B">
              <w:rPr>
                <w:sz w:val="22"/>
                <w:lang w:val="es-ES_tradnl"/>
              </w:rPr>
              <w:noBreakHyphen/>
              <w:t>23)</w:t>
            </w:r>
          </w:p>
        </w:tc>
        <w:tc>
          <w:tcPr>
            <w:tcW w:w="1509" w:type="dxa"/>
            <w:vAlign w:val="center"/>
          </w:tcPr>
          <w:p w14:paraId="07172598" w14:textId="77777777" w:rsidR="008F4AA3" w:rsidRPr="0056577B" w:rsidRDefault="008F4AA3" w:rsidP="0056577B">
            <w:pPr>
              <w:pStyle w:val="Tabletext"/>
              <w:jc w:val="center"/>
              <w:rPr>
                <w:sz w:val="22"/>
                <w:lang w:val="es-ES_tradnl"/>
              </w:rPr>
            </w:pPr>
            <w:r w:rsidRPr="0056577B">
              <w:rPr>
                <w:sz w:val="22"/>
                <w:lang w:val="es-ES_tradnl"/>
              </w:rPr>
              <w:t>GT 7C</w:t>
            </w:r>
          </w:p>
        </w:tc>
        <w:tc>
          <w:tcPr>
            <w:tcW w:w="4712" w:type="dxa"/>
            <w:vAlign w:val="center"/>
          </w:tcPr>
          <w:p w14:paraId="1E09E4BB" w14:textId="77777777" w:rsidR="008F4AA3" w:rsidRPr="00C90C5E" w:rsidRDefault="008F4AA3" w:rsidP="0056577B">
            <w:pPr>
              <w:pStyle w:val="Tabletext"/>
              <w:jc w:val="center"/>
              <w:rPr>
                <w:sz w:val="22"/>
                <w:lang w:val="fr-FR"/>
              </w:rPr>
            </w:pPr>
            <w:r w:rsidRPr="00C90C5E">
              <w:rPr>
                <w:sz w:val="22"/>
                <w:lang w:val="fr-FR"/>
              </w:rPr>
              <w:t>GT 3J; GT 3M; GT 4A; GT 5A; GT 5B; GT 5C; GT 5D; GT 7B</w:t>
            </w:r>
          </w:p>
        </w:tc>
      </w:tr>
      <w:tr w:rsidR="008F4AA3" w:rsidRPr="0056577B" w14:paraId="42AE5690" w14:textId="77777777" w:rsidTr="00073536">
        <w:trPr>
          <w:jc w:val="center"/>
        </w:trPr>
        <w:tc>
          <w:tcPr>
            <w:tcW w:w="1549" w:type="dxa"/>
            <w:vAlign w:val="center"/>
          </w:tcPr>
          <w:p w14:paraId="02DA8DCE" w14:textId="77777777" w:rsidR="008F4AA3" w:rsidRPr="0056577B" w:rsidRDefault="008F4AA3" w:rsidP="00665FB3">
            <w:pPr>
              <w:pStyle w:val="Tabletext"/>
              <w:keepNext/>
              <w:keepLines/>
              <w:jc w:val="center"/>
              <w:rPr>
                <w:sz w:val="22"/>
                <w:lang w:val="es-ES_tradnl"/>
              </w:rPr>
            </w:pPr>
            <w:r w:rsidRPr="0056577B">
              <w:rPr>
                <w:sz w:val="22"/>
                <w:lang w:val="es-ES_tradnl"/>
              </w:rPr>
              <w:lastRenderedPageBreak/>
              <w:t>2</w:t>
            </w:r>
          </w:p>
        </w:tc>
        <w:tc>
          <w:tcPr>
            <w:tcW w:w="1859" w:type="dxa"/>
            <w:vAlign w:val="center"/>
          </w:tcPr>
          <w:p w14:paraId="157EC339" w14:textId="77777777" w:rsidR="008F4AA3" w:rsidRPr="0056577B" w:rsidRDefault="008F4AA3" w:rsidP="00665FB3">
            <w:pPr>
              <w:pStyle w:val="Tabletext"/>
              <w:keepNext/>
              <w:keepLines/>
              <w:jc w:val="center"/>
              <w:rPr>
                <w:sz w:val="22"/>
                <w:lang w:val="es-ES_tradnl"/>
              </w:rPr>
            </w:pPr>
            <w:r w:rsidRPr="0056577B">
              <w:rPr>
                <w:sz w:val="22"/>
                <w:lang w:val="es-ES_tradnl"/>
              </w:rPr>
              <w:t>27 (Rev.CMR-19)</w:t>
            </w:r>
          </w:p>
        </w:tc>
        <w:tc>
          <w:tcPr>
            <w:tcW w:w="1509" w:type="dxa"/>
            <w:vAlign w:val="center"/>
          </w:tcPr>
          <w:p w14:paraId="3B141BB4" w14:textId="77777777" w:rsidR="008F4AA3" w:rsidRPr="0056577B" w:rsidRDefault="008F4AA3" w:rsidP="00665FB3">
            <w:pPr>
              <w:pStyle w:val="Tabletext"/>
              <w:keepNext/>
              <w:keepLines/>
              <w:jc w:val="center"/>
              <w:rPr>
                <w:sz w:val="22"/>
                <w:lang w:val="es-ES_tradnl"/>
              </w:rPr>
            </w:pPr>
            <w:r w:rsidRPr="0056577B">
              <w:rPr>
                <w:sz w:val="22"/>
                <w:lang w:val="es-ES_tradnl"/>
              </w:rPr>
              <w:t>RPC27</w:t>
            </w:r>
            <w:r w:rsidRPr="0056577B">
              <w:rPr>
                <w:sz w:val="22"/>
                <w:lang w:val="es-ES_tradnl"/>
              </w:rPr>
              <w:noBreakHyphen/>
              <w:t>2</w:t>
            </w:r>
          </w:p>
        </w:tc>
        <w:tc>
          <w:tcPr>
            <w:tcW w:w="4712" w:type="dxa"/>
            <w:vAlign w:val="center"/>
          </w:tcPr>
          <w:p w14:paraId="0D77A980" w14:textId="77777777" w:rsidR="008F4AA3" w:rsidRPr="0056577B" w:rsidRDefault="008F4AA3" w:rsidP="00665FB3">
            <w:pPr>
              <w:pStyle w:val="Tabletext"/>
              <w:keepNext/>
              <w:keepLines/>
              <w:jc w:val="center"/>
              <w:rPr>
                <w:sz w:val="22"/>
                <w:lang w:val="es-ES_tradnl"/>
              </w:rPr>
            </w:pPr>
            <w:r w:rsidRPr="0056577B">
              <w:rPr>
                <w:sz w:val="22"/>
                <w:lang w:val="es-ES_tradnl"/>
              </w:rPr>
              <w:t>–</w:t>
            </w:r>
          </w:p>
        </w:tc>
      </w:tr>
      <w:tr w:rsidR="008F4AA3" w:rsidRPr="0056577B" w14:paraId="1FD59EFE" w14:textId="77777777" w:rsidTr="00073536">
        <w:trPr>
          <w:jc w:val="center"/>
        </w:trPr>
        <w:tc>
          <w:tcPr>
            <w:tcW w:w="1549" w:type="dxa"/>
            <w:vAlign w:val="center"/>
          </w:tcPr>
          <w:p w14:paraId="353B9B98" w14:textId="77777777" w:rsidR="008F4AA3" w:rsidRPr="0056577B" w:rsidRDefault="008F4AA3" w:rsidP="00665FB3">
            <w:pPr>
              <w:pStyle w:val="Tabletext"/>
              <w:keepNext/>
              <w:keepLines/>
              <w:jc w:val="center"/>
              <w:rPr>
                <w:sz w:val="22"/>
                <w:lang w:val="es-ES_tradnl"/>
              </w:rPr>
            </w:pPr>
            <w:r w:rsidRPr="0056577B">
              <w:rPr>
                <w:sz w:val="22"/>
                <w:lang w:val="es-ES_tradnl"/>
              </w:rPr>
              <w:t>3</w:t>
            </w:r>
          </w:p>
        </w:tc>
        <w:tc>
          <w:tcPr>
            <w:tcW w:w="1859" w:type="dxa"/>
            <w:vAlign w:val="center"/>
          </w:tcPr>
          <w:p w14:paraId="4ACCE26C" w14:textId="77777777" w:rsidR="008F4AA3" w:rsidRPr="0056577B" w:rsidRDefault="008F4AA3" w:rsidP="00665FB3">
            <w:pPr>
              <w:pStyle w:val="Tabletext"/>
              <w:keepNext/>
              <w:keepLines/>
              <w:jc w:val="center"/>
              <w:rPr>
                <w:sz w:val="22"/>
                <w:lang w:val="es-ES_tradnl"/>
              </w:rPr>
            </w:pPr>
            <w:r w:rsidRPr="0056577B">
              <w:rPr>
                <w:sz w:val="22"/>
                <w:lang w:val="es-ES_tradnl"/>
              </w:rPr>
              <w:t>–</w:t>
            </w:r>
          </w:p>
        </w:tc>
        <w:tc>
          <w:tcPr>
            <w:tcW w:w="1509" w:type="dxa"/>
            <w:vAlign w:val="center"/>
          </w:tcPr>
          <w:p w14:paraId="311718A9" w14:textId="77777777" w:rsidR="008F4AA3" w:rsidRPr="0056577B" w:rsidRDefault="008F4AA3" w:rsidP="00665FB3">
            <w:pPr>
              <w:pStyle w:val="Tabletext"/>
              <w:keepNext/>
              <w:keepLines/>
              <w:jc w:val="center"/>
              <w:rPr>
                <w:sz w:val="22"/>
                <w:lang w:val="es-ES_tradnl"/>
              </w:rPr>
            </w:pPr>
            <w:r w:rsidRPr="0056577B">
              <w:rPr>
                <w:sz w:val="22"/>
                <w:lang w:val="es-ES_tradnl"/>
              </w:rPr>
              <w:t>–</w:t>
            </w:r>
          </w:p>
        </w:tc>
        <w:tc>
          <w:tcPr>
            <w:tcW w:w="4712" w:type="dxa"/>
            <w:vAlign w:val="center"/>
          </w:tcPr>
          <w:p w14:paraId="5E19D38D" w14:textId="77777777" w:rsidR="008F4AA3" w:rsidRPr="0056577B" w:rsidRDefault="008F4AA3" w:rsidP="00665FB3">
            <w:pPr>
              <w:pStyle w:val="Tabletext"/>
              <w:keepNext/>
              <w:keepLines/>
              <w:jc w:val="center"/>
              <w:rPr>
                <w:sz w:val="22"/>
                <w:lang w:val="es-ES_tradnl"/>
              </w:rPr>
            </w:pPr>
            <w:r w:rsidRPr="0056577B">
              <w:rPr>
                <w:sz w:val="22"/>
                <w:lang w:val="es-ES_tradnl"/>
              </w:rPr>
              <w:t>–</w:t>
            </w:r>
          </w:p>
        </w:tc>
      </w:tr>
      <w:tr w:rsidR="008F4AA3" w:rsidRPr="0056577B" w14:paraId="57A606A7" w14:textId="77777777" w:rsidTr="00073536">
        <w:trPr>
          <w:jc w:val="center"/>
        </w:trPr>
        <w:tc>
          <w:tcPr>
            <w:tcW w:w="1549" w:type="dxa"/>
            <w:vAlign w:val="center"/>
          </w:tcPr>
          <w:p w14:paraId="614136C9" w14:textId="77777777" w:rsidR="008F4AA3" w:rsidRPr="0056577B" w:rsidRDefault="008F4AA3" w:rsidP="00665FB3">
            <w:pPr>
              <w:pStyle w:val="Tabletext"/>
              <w:keepNext/>
              <w:keepLines/>
              <w:jc w:val="center"/>
              <w:rPr>
                <w:sz w:val="22"/>
                <w:lang w:val="es-ES_tradnl"/>
              </w:rPr>
            </w:pPr>
            <w:r w:rsidRPr="0056577B">
              <w:rPr>
                <w:sz w:val="22"/>
                <w:lang w:val="es-ES_tradnl"/>
              </w:rPr>
              <w:t>4</w:t>
            </w:r>
          </w:p>
        </w:tc>
        <w:tc>
          <w:tcPr>
            <w:tcW w:w="1859" w:type="dxa"/>
            <w:vAlign w:val="center"/>
          </w:tcPr>
          <w:p w14:paraId="1DDFA5EC" w14:textId="77777777" w:rsidR="008F4AA3" w:rsidRPr="0056577B" w:rsidRDefault="008F4AA3" w:rsidP="00665FB3">
            <w:pPr>
              <w:pStyle w:val="Tabletext"/>
              <w:keepNext/>
              <w:keepLines/>
              <w:jc w:val="center"/>
              <w:rPr>
                <w:sz w:val="22"/>
                <w:lang w:val="es-ES_tradnl"/>
              </w:rPr>
            </w:pPr>
            <w:r w:rsidRPr="0056577B">
              <w:rPr>
                <w:sz w:val="22"/>
                <w:lang w:val="es-ES_tradnl"/>
              </w:rPr>
              <w:t>95 (Rev.CMR-19)</w:t>
            </w:r>
          </w:p>
        </w:tc>
        <w:tc>
          <w:tcPr>
            <w:tcW w:w="1509" w:type="dxa"/>
            <w:vAlign w:val="center"/>
          </w:tcPr>
          <w:p w14:paraId="27ED0D9A" w14:textId="77777777" w:rsidR="008F4AA3" w:rsidRPr="0056577B" w:rsidRDefault="008F4AA3" w:rsidP="00665FB3">
            <w:pPr>
              <w:pStyle w:val="Tabletext"/>
              <w:keepNext/>
              <w:keepLines/>
              <w:jc w:val="center"/>
              <w:rPr>
                <w:sz w:val="22"/>
                <w:lang w:val="es-ES_tradnl"/>
              </w:rPr>
            </w:pPr>
            <w:r w:rsidRPr="0056577B">
              <w:rPr>
                <w:sz w:val="22"/>
                <w:lang w:val="es-ES_tradnl"/>
              </w:rPr>
              <w:t>RPC27</w:t>
            </w:r>
            <w:r w:rsidRPr="0056577B">
              <w:rPr>
                <w:sz w:val="22"/>
                <w:lang w:val="es-ES_tradnl"/>
              </w:rPr>
              <w:noBreakHyphen/>
              <w:t>2</w:t>
            </w:r>
          </w:p>
        </w:tc>
        <w:tc>
          <w:tcPr>
            <w:tcW w:w="4712" w:type="dxa"/>
            <w:vAlign w:val="center"/>
          </w:tcPr>
          <w:p w14:paraId="4C2F8FA2" w14:textId="77777777" w:rsidR="008F4AA3" w:rsidRPr="0056577B" w:rsidRDefault="008F4AA3" w:rsidP="00665FB3">
            <w:pPr>
              <w:pStyle w:val="Tabletext"/>
              <w:keepNext/>
              <w:keepLines/>
              <w:jc w:val="center"/>
              <w:rPr>
                <w:sz w:val="22"/>
                <w:lang w:val="es-ES_tradnl"/>
              </w:rPr>
            </w:pPr>
            <w:r w:rsidRPr="0056577B">
              <w:rPr>
                <w:sz w:val="22"/>
                <w:lang w:val="es-ES_tradnl"/>
              </w:rPr>
              <w:t>–</w:t>
            </w:r>
          </w:p>
        </w:tc>
      </w:tr>
      <w:tr w:rsidR="008F4AA3" w:rsidRPr="0056577B" w14:paraId="166471E4" w14:textId="77777777" w:rsidTr="00073536">
        <w:trPr>
          <w:jc w:val="center"/>
        </w:trPr>
        <w:tc>
          <w:tcPr>
            <w:tcW w:w="1549" w:type="dxa"/>
            <w:vAlign w:val="center"/>
          </w:tcPr>
          <w:p w14:paraId="175A157A" w14:textId="77777777" w:rsidR="008F4AA3" w:rsidRPr="0056577B" w:rsidRDefault="008F4AA3" w:rsidP="0056577B">
            <w:pPr>
              <w:pStyle w:val="Tabletext"/>
              <w:jc w:val="center"/>
              <w:rPr>
                <w:sz w:val="22"/>
                <w:lang w:val="es-ES_tradnl"/>
              </w:rPr>
            </w:pPr>
            <w:r w:rsidRPr="0056577B">
              <w:rPr>
                <w:sz w:val="22"/>
                <w:lang w:val="es-ES_tradnl"/>
              </w:rPr>
              <w:t>5</w:t>
            </w:r>
          </w:p>
        </w:tc>
        <w:tc>
          <w:tcPr>
            <w:tcW w:w="1859" w:type="dxa"/>
            <w:vAlign w:val="center"/>
          </w:tcPr>
          <w:p w14:paraId="75F6B6DE" w14:textId="77777777" w:rsidR="008F4AA3" w:rsidRPr="0056577B" w:rsidRDefault="008F4AA3" w:rsidP="0056577B">
            <w:pPr>
              <w:pStyle w:val="Tabletext"/>
              <w:jc w:val="center"/>
              <w:rPr>
                <w:sz w:val="22"/>
                <w:lang w:val="es-ES_tradnl"/>
              </w:rPr>
            </w:pPr>
            <w:r w:rsidRPr="0056577B">
              <w:rPr>
                <w:sz w:val="22"/>
                <w:lang w:val="es-ES_tradnl"/>
              </w:rPr>
              <w:t>–</w:t>
            </w:r>
          </w:p>
        </w:tc>
        <w:tc>
          <w:tcPr>
            <w:tcW w:w="1509" w:type="dxa"/>
            <w:vAlign w:val="center"/>
          </w:tcPr>
          <w:p w14:paraId="14D262C7" w14:textId="77777777" w:rsidR="008F4AA3" w:rsidRPr="0056577B" w:rsidRDefault="008F4AA3" w:rsidP="0056577B">
            <w:pPr>
              <w:pStyle w:val="Tabletext"/>
              <w:jc w:val="center"/>
              <w:rPr>
                <w:sz w:val="22"/>
                <w:lang w:val="es-ES_tradnl"/>
              </w:rPr>
            </w:pPr>
            <w:r w:rsidRPr="0056577B">
              <w:rPr>
                <w:sz w:val="22"/>
                <w:lang w:val="es-ES_tradnl"/>
              </w:rPr>
              <w:t>–</w:t>
            </w:r>
          </w:p>
        </w:tc>
        <w:tc>
          <w:tcPr>
            <w:tcW w:w="4712" w:type="dxa"/>
            <w:vAlign w:val="center"/>
          </w:tcPr>
          <w:p w14:paraId="66243725" w14:textId="77777777" w:rsidR="008F4AA3" w:rsidRPr="0056577B" w:rsidRDefault="008F4AA3" w:rsidP="0056577B">
            <w:pPr>
              <w:pStyle w:val="Tabletext"/>
              <w:jc w:val="center"/>
              <w:rPr>
                <w:sz w:val="22"/>
                <w:lang w:val="es-ES_tradnl"/>
              </w:rPr>
            </w:pPr>
            <w:r w:rsidRPr="0056577B">
              <w:rPr>
                <w:sz w:val="22"/>
                <w:lang w:val="es-ES_tradnl"/>
              </w:rPr>
              <w:t>–</w:t>
            </w:r>
          </w:p>
        </w:tc>
      </w:tr>
      <w:tr w:rsidR="008F4AA3" w:rsidRPr="0056577B" w14:paraId="7DD0429E" w14:textId="77777777" w:rsidTr="00073536">
        <w:trPr>
          <w:jc w:val="center"/>
        </w:trPr>
        <w:tc>
          <w:tcPr>
            <w:tcW w:w="1549" w:type="dxa"/>
            <w:vAlign w:val="center"/>
          </w:tcPr>
          <w:p w14:paraId="2671FD70" w14:textId="77777777" w:rsidR="008F4AA3" w:rsidRPr="0056577B" w:rsidRDefault="008F4AA3" w:rsidP="0056577B">
            <w:pPr>
              <w:pStyle w:val="Tabletext"/>
              <w:jc w:val="center"/>
              <w:rPr>
                <w:sz w:val="22"/>
                <w:lang w:val="es-ES_tradnl"/>
              </w:rPr>
            </w:pPr>
            <w:r w:rsidRPr="0056577B">
              <w:rPr>
                <w:sz w:val="22"/>
                <w:lang w:val="es-ES_tradnl"/>
              </w:rPr>
              <w:t>6</w:t>
            </w:r>
          </w:p>
        </w:tc>
        <w:tc>
          <w:tcPr>
            <w:tcW w:w="1859" w:type="dxa"/>
            <w:vAlign w:val="center"/>
          </w:tcPr>
          <w:p w14:paraId="7E1481B5" w14:textId="77777777" w:rsidR="008F4AA3" w:rsidRPr="0056577B" w:rsidRDefault="008F4AA3" w:rsidP="0056577B">
            <w:pPr>
              <w:pStyle w:val="Tabletext"/>
              <w:jc w:val="center"/>
              <w:rPr>
                <w:sz w:val="22"/>
                <w:lang w:val="es-ES_tradnl"/>
              </w:rPr>
            </w:pPr>
            <w:r w:rsidRPr="0056577B">
              <w:rPr>
                <w:sz w:val="22"/>
                <w:lang w:val="es-ES_tradnl"/>
              </w:rPr>
              <w:t>–</w:t>
            </w:r>
          </w:p>
        </w:tc>
        <w:tc>
          <w:tcPr>
            <w:tcW w:w="1509" w:type="dxa"/>
            <w:vAlign w:val="center"/>
          </w:tcPr>
          <w:p w14:paraId="73C0FCA7" w14:textId="77777777" w:rsidR="008F4AA3" w:rsidRPr="0056577B" w:rsidRDefault="008F4AA3" w:rsidP="0056577B">
            <w:pPr>
              <w:pStyle w:val="Tabletext"/>
              <w:jc w:val="center"/>
              <w:rPr>
                <w:sz w:val="22"/>
                <w:lang w:val="es-ES_tradnl"/>
              </w:rPr>
            </w:pPr>
            <w:r w:rsidRPr="0056577B">
              <w:rPr>
                <w:sz w:val="22"/>
                <w:lang w:val="es-ES_tradnl"/>
              </w:rPr>
              <w:t>–</w:t>
            </w:r>
          </w:p>
        </w:tc>
        <w:tc>
          <w:tcPr>
            <w:tcW w:w="4712" w:type="dxa"/>
            <w:vAlign w:val="center"/>
          </w:tcPr>
          <w:p w14:paraId="4DA99544" w14:textId="77777777" w:rsidR="008F4AA3" w:rsidRPr="0056577B" w:rsidRDefault="008F4AA3" w:rsidP="0056577B">
            <w:pPr>
              <w:pStyle w:val="Tabletext"/>
              <w:jc w:val="center"/>
              <w:rPr>
                <w:sz w:val="22"/>
                <w:lang w:val="es-ES_tradnl"/>
              </w:rPr>
            </w:pPr>
            <w:r w:rsidRPr="0056577B">
              <w:rPr>
                <w:sz w:val="22"/>
                <w:lang w:val="es-ES_tradnl"/>
              </w:rPr>
              <w:t>–</w:t>
            </w:r>
          </w:p>
        </w:tc>
      </w:tr>
      <w:tr w:rsidR="008F4AA3" w:rsidRPr="0056577B" w14:paraId="3C297847" w14:textId="77777777" w:rsidTr="00073536">
        <w:trPr>
          <w:jc w:val="center"/>
        </w:trPr>
        <w:tc>
          <w:tcPr>
            <w:tcW w:w="1549" w:type="dxa"/>
            <w:vAlign w:val="center"/>
          </w:tcPr>
          <w:p w14:paraId="39989D56" w14:textId="77777777" w:rsidR="008F4AA3" w:rsidRPr="0056577B" w:rsidRDefault="008F4AA3" w:rsidP="0056577B">
            <w:pPr>
              <w:pStyle w:val="Tabletext"/>
              <w:jc w:val="center"/>
              <w:rPr>
                <w:sz w:val="22"/>
                <w:lang w:val="es-ES_tradnl"/>
              </w:rPr>
            </w:pPr>
            <w:r w:rsidRPr="0056577B">
              <w:rPr>
                <w:sz w:val="22"/>
                <w:lang w:val="es-ES_tradnl"/>
              </w:rPr>
              <w:t>7</w:t>
            </w:r>
          </w:p>
        </w:tc>
        <w:tc>
          <w:tcPr>
            <w:tcW w:w="1859" w:type="dxa"/>
            <w:vAlign w:val="center"/>
          </w:tcPr>
          <w:p w14:paraId="2ED8C27C" w14:textId="77777777" w:rsidR="008F4AA3" w:rsidRPr="0056577B" w:rsidRDefault="008F4AA3" w:rsidP="0056577B">
            <w:pPr>
              <w:pStyle w:val="Tabletext"/>
              <w:jc w:val="center"/>
              <w:rPr>
                <w:sz w:val="22"/>
                <w:lang w:val="es-ES_tradnl"/>
              </w:rPr>
            </w:pPr>
            <w:r w:rsidRPr="0056577B">
              <w:rPr>
                <w:sz w:val="22"/>
                <w:lang w:val="es-ES_tradnl"/>
              </w:rPr>
              <w:t>86 (Rev.CMR-07)</w:t>
            </w:r>
          </w:p>
        </w:tc>
        <w:tc>
          <w:tcPr>
            <w:tcW w:w="1509" w:type="dxa"/>
            <w:vAlign w:val="center"/>
          </w:tcPr>
          <w:p w14:paraId="4CA9EB82" w14:textId="77777777" w:rsidR="008F4AA3" w:rsidRPr="0056577B" w:rsidRDefault="008F4AA3" w:rsidP="0056577B">
            <w:pPr>
              <w:pStyle w:val="Tabletext"/>
              <w:jc w:val="center"/>
              <w:rPr>
                <w:sz w:val="22"/>
                <w:lang w:val="es-ES_tradnl"/>
              </w:rPr>
            </w:pPr>
            <w:r w:rsidRPr="0056577B">
              <w:rPr>
                <w:sz w:val="22"/>
                <w:lang w:val="es-ES_tradnl"/>
              </w:rPr>
              <w:t>GT 4A</w:t>
            </w:r>
          </w:p>
        </w:tc>
        <w:tc>
          <w:tcPr>
            <w:tcW w:w="4712" w:type="dxa"/>
            <w:vAlign w:val="center"/>
          </w:tcPr>
          <w:p w14:paraId="2DBCB99D" w14:textId="77777777" w:rsidR="008F4AA3" w:rsidRPr="0056577B" w:rsidRDefault="008F4AA3" w:rsidP="0056577B">
            <w:pPr>
              <w:pStyle w:val="Tabletext"/>
              <w:jc w:val="center"/>
              <w:rPr>
                <w:sz w:val="22"/>
                <w:lang w:val="es-ES_tradnl"/>
              </w:rPr>
            </w:pPr>
            <w:r w:rsidRPr="0056577B">
              <w:rPr>
                <w:sz w:val="22"/>
                <w:lang w:val="es-ES_tradnl"/>
              </w:rPr>
              <w:t>–</w:t>
            </w:r>
          </w:p>
        </w:tc>
      </w:tr>
      <w:tr w:rsidR="008F4AA3" w:rsidRPr="0056577B" w14:paraId="2262F956" w14:textId="77777777" w:rsidTr="00073536">
        <w:trPr>
          <w:jc w:val="center"/>
        </w:trPr>
        <w:tc>
          <w:tcPr>
            <w:tcW w:w="1549" w:type="dxa"/>
            <w:vAlign w:val="center"/>
          </w:tcPr>
          <w:p w14:paraId="1DF81722" w14:textId="77777777" w:rsidR="008F4AA3" w:rsidRPr="0056577B" w:rsidRDefault="008F4AA3" w:rsidP="0056577B">
            <w:pPr>
              <w:pStyle w:val="Tabletext"/>
              <w:jc w:val="center"/>
              <w:rPr>
                <w:sz w:val="22"/>
                <w:lang w:val="es-ES_tradnl"/>
              </w:rPr>
            </w:pPr>
            <w:r w:rsidRPr="0056577B">
              <w:rPr>
                <w:sz w:val="22"/>
                <w:lang w:val="es-ES_tradnl"/>
              </w:rPr>
              <w:t>8</w:t>
            </w:r>
          </w:p>
        </w:tc>
        <w:tc>
          <w:tcPr>
            <w:tcW w:w="1859" w:type="dxa"/>
            <w:vAlign w:val="center"/>
          </w:tcPr>
          <w:p w14:paraId="519C36F0" w14:textId="77777777" w:rsidR="008F4AA3" w:rsidRPr="0056577B" w:rsidRDefault="008F4AA3" w:rsidP="0056577B">
            <w:pPr>
              <w:pStyle w:val="Tabletext"/>
              <w:jc w:val="center"/>
              <w:rPr>
                <w:sz w:val="22"/>
                <w:lang w:val="es-ES_tradnl"/>
              </w:rPr>
            </w:pPr>
            <w:r w:rsidRPr="0056577B">
              <w:rPr>
                <w:sz w:val="22"/>
                <w:lang w:val="es-ES_tradnl"/>
              </w:rPr>
              <w:t>26 (Rev.CMR-23)</w:t>
            </w:r>
          </w:p>
        </w:tc>
        <w:tc>
          <w:tcPr>
            <w:tcW w:w="1509" w:type="dxa"/>
            <w:vAlign w:val="center"/>
          </w:tcPr>
          <w:p w14:paraId="70F468E1" w14:textId="77777777" w:rsidR="008F4AA3" w:rsidRPr="0056577B" w:rsidRDefault="008F4AA3" w:rsidP="0056577B">
            <w:pPr>
              <w:pStyle w:val="Tabletext"/>
              <w:jc w:val="center"/>
              <w:rPr>
                <w:sz w:val="22"/>
                <w:lang w:val="es-ES_tradnl"/>
              </w:rPr>
            </w:pPr>
            <w:r w:rsidRPr="0056577B">
              <w:rPr>
                <w:sz w:val="22"/>
                <w:lang w:val="es-ES_tradnl"/>
              </w:rPr>
              <w:t>RPC27</w:t>
            </w:r>
            <w:r w:rsidRPr="0056577B">
              <w:rPr>
                <w:sz w:val="22"/>
                <w:lang w:val="es-ES_tradnl"/>
              </w:rPr>
              <w:noBreakHyphen/>
              <w:t>2</w:t>
            </w:r>
            <w:r w:rsidRPr="0056577B">
              <w:rPr>
                <w:sz w:val="22"/>
                <w:lang w:val="es-ES_tradnl"/>
              </w:rPr>
              <w:br/>
            </w:r>
            <w:r w:rsidRPr="00665FB3">
              <w:rPr>
                <w:sz w:val="18"/>
                <w:szCs w:val="18"/>
                <w:lang w:val="es-ES_tradnl"/>
              </w:rPr>
              <w:t>(sólo a título informativo)</w:t>
            </w:r>
          </w:p>
        </w:tc>
        <w:tc>
          <w:tcPr>
            <w:tcW w:w="4712" w:type="dxa"/>
            <w:vAlign w:val="center"/>
          </w:tcPr>
          <w:p w14:paraId="6B687BD1" w14:textId="77777777" w:rsidR="008F4AA3" w:rsidRPr="0056577B" w:rsidRDefault="008F4AA3" w:rsidP="0056577B">
            <w:pPr>
              <w:pStyle w:val="Tabletext"/>
              <w:jc w:val="center"/>
              <w:rPr>
                <w:sz w:val="22"/>
                <w:lang w:val="es-ES_tradnl"/>
              </w:rPr>
            </w:pPr>
            <w:r w:rsidRPr="0056577B">
              <w:rPr>
                <w:sz w:val="22"/>
                <w:lang w:val="es-ES_tradnl"/>
              </w:rPr>
              <w:t>–</w:t>
            </w:r>
          </w:p>
        </w:tc>
      </w:tr>
      <w:tr w:rsidR="008F4AA3" w:rsidRPr="0056577B" w14:paraId="2A5BE5A8" w14:textId="77777777" w:rsidTr="00073536">
        <w:trPr>
          <w:jc w:val="center"/>
        </w:trPr>
        <w:tc>
          <w:tcPr>
            <w:tcW w:w="1549" w:type="dxa"/>
            <w:vAlign w:val="center"/>
          </w:tcPr>
          <w:p w14:paraId="4A042E2F" w14:textId="77777777" w:rsidR="008F4AA3" w:rsidRPr="0056577B" w:rsidRDefault="008F4AA3" w:rsidP="0056577B">
            <w:pPr>
              <w:pStyle w:val="Tabletext"/>
              <w:jc w:val="center"/>
              <w:rPr>
                <w:sz w:val="22"/>
                <w:lang w:val="es-ES_tradnl"/>
              </w:rPr>
            </w:pPr>
            <w:r w:rsidRPr="0056577B">
              <w:rPr>
                <w:sz w:val="22"/>
                <w:lang w:val="es-ES_tradnl"/>
              </w:rPr>
              <w:t>9</w:t>
            </w:r>
          </w:p>
        </w:tc>
        <w:tc>
          <w:tcPr>
            <w:tcW w:w="1859" w:type="dxa"/>
            <w:vAlign w:val="center"/>
          </w:tcPr>
          <w:p w14:paraId="1D6CA807" w14:textId="77777777" w:rsidR="008F4AA3" w:rsidRPr="0056577B" w:rsidRDefault="008F4AA3" w:rsidP="0056577B">
            <w:pPr>
              <w:pStyle w:val="Tabletext"/>
              <w:jc w:val="center"/>
              <w:rPr>
                <w:sz w:val="22"/>
                <w:lang w:val="es-ES_tradnl"/>
              </w:rPr>
            </w:pPr>
            <w:r w:rsidRPr="0056577B">
              <w:rPr>
                <w:sz w:val="22"/>
                <w:lang w:val="es-ES_tradnl"/>
              </w:rPr>
              <w:t>–</w:t>
            </w:r>
          </w:p>
        </w:tc>
        <w:tc>
          <w:tcPr>
            <w:tcW w:w="1509" w:type="dxa"/>
            <w:vAlign w:val="center"/>
          </w:tcPr>
          <w:p w14:paraId="6C76DE0C" w14:textId="77777777" w:rsidR="008F4AA3" w:rsidRPr="0056577B" w:rsidRDefault="008F4AA3" w:rsidP="0056577B">
            <w:pPr>
              <w:pStyle w:val="Tabletext"/>
              <w:jc w:val="center"/>
              <w:rPr>
                <w:sz w:val="22"/>
                <w:lang w:val="es-ES_tradnl"/>
              </w:rPr>
            </w:pPr>
            <w:r w:rsidRPr="0056577B">
              <w:rPr>
                <w:sz w:val="22"/>
                <w:lang w:val="es-ES_tradnl"/>
              </w:rPr>
              <w:t>–</w:t>
            </w:r>
          </w:p>
        </w:tc>
        <w:tc>
          <w:tcPr>
            <w:tcW w:w="4712" w:type="dxa"/>
            <w:vAlign w:val="center"/>
          </w:tcPr>
          <w:p w14:paraId="27315378" w14:textId="77777777" w:rsidR="008F4AA3" w:rsidRPr="0056577B" w:rsidRDefault="008F4AA3" w:rsidP="0056577B">
            <w:pPr>
              <w:pStyle w:val="Tabletext"/>
              <w:jc w:val="center"/>
              <w:rPr>
                <w:sz w:val="22"/>
                <w:lang w:val="es-ES_tradnl"/>
              </w:rPr>
            </w:pPr>
            <w:r w:rsidRPr="0056577B">
              <w:rPr>
                <w:sz w:val="22"/>
                <w:lang w:val="es-ES_tradnl"/>
              </w:rPr>
              <w:t>–</w:t>
            </w:r>
          </w:p>
        </w:tc>
      </w:tr>
      <w:tr w:rsidR="008F4AA3" w:rsidRPr="0056577B" w14:paraId="6AE8B835" w14:textId="77777777" w:rsidTr="00073536">
        <w:trPr>
          <w:jc w:val="center"/>
        </w:trPr>
        <w:tc>
          <w:tcPr>
            <w:tcW w:w="1549" w:type="dxa"/>
            <w:vAlign w:val="center"/>
          </w:tcPr>
          <w:p w14:paraId="22862750" w14:textId="77777777" w:rsidR="008F4AA3" w:rsidRPr="0056577B" w:rsidRDefault="008F4AA3" w:rsidP="0056577B">
            <w:pPr>
              <w:pStyle w:val="Tabletext"/>
              <w:jc w:val="center"/>
              <w:rPr>
                <w:sz w:val="22"/>
                <w:lang w:val="es-ES_tradnl"/>
              </w:rPr>
            </w:pPr>
            <w:r w:rsidRPr="0056577B">
              <w:rPr>
                <w:sz w:val="22"/>
                <w:lang w:val="es-ES_tradnl"/>
              </w:rPr>
              <w:t>9.1</w:t>
            </w:r>
          </w:p>
        </w:tc>
        <w:tc>
          <w:tcPr>
            <w:tcW w:w="1859" w:type="dxa"/>
            <w:vAlign w:val="center"/>
          </w:tcPr>
          <w:p w14:paraId="0F9EF445" w14:textId="77777777" w:rsidR="008F4AA3" w:rsidRPr="0056577B" w:rsidRDefault="008F4AA3" w:rsidP="0056577B">
            <w:pPr>
              <w:pStyle w:val="Tabletext"/>
              <w:jc w:val="center"/>
              <w:rPr>
                <w:sz w:val="22"/>
                <w:lang w:val="es-ES_tradnl"/>
              </w:rPr>
            </w:pPr>
            <w:r w:rsidRPr="0056577B">
              <w:rPr>
                <w:sz w:val="22"/>
                <w:lang w:val="es-ES_tradnl"/>
              </w:rPr>
              <w:t>–</w:t>
            </w:r>
          </w:p>
        </w:tc>
        <w:tc>
          <w:tcPr>
            <w:tcW w:w="1509" w:type="dxa"/>
            <w:vAlign w:val="center"/>
          </w:tcPr>
          <w:p w14:paraId="600DA420" w14:textId="77777777" w:rsidR="008F4AA3" w:rsidRPr="0056577B" w:rsidRDefault="008F4AA3" w:rsidP="0056577B">
            <w:pPr>
              <w:pStyle w:val="Tabletext"/>
              <w:jc w:val="center"/>
              <w:rPr>
                <w:sz w:val="22"/>
                <w:lang w:val="es-ES_tradnl"/>
              </w:rPr>
            </w:pPr>
            <w:r w:rsidRPr="0056577B">
              <w:rPr>
                <w:sz w:val="22"/>
                <w:lang w:val="es-ES_tradnl"/>
              </w:rPr>
              <w:t>–</w:t>
            </w:r>
          </w:p>
        </w:tc>
        <w:tc>
          <w:tcPr>
            <w:tcW w:w="4712" w:type="dxa"/>
            <w:vAlign w:val="center"/>
          </w:tcPr>
          <w:p w14:paraId="065E4E26" w14:textId="77777777" w:rsidR="008F4AA3" w:rsidRPr="0056577B" w:rsidRDefault="008F4AA3" w:rsidP="0056577B">
            <w:pPr>
              <w:pStyle w:val="Tabletext"/>
              <w:jc w:val="center"/>
              <w:rPr>
                <w:sz w:val="22"/>
                <w:lang w:val="es-ES_tradnl"/>
              </w:rPr>
            </w:pPr>
            <w:r w:rsidRPr="0056577B">
              <w:rPr>
                <w:sz w:val="22"/>
                <w:lang w:val="es-ES_tradnl"/>
              </w:rPr>
              <w:t>–</w:t>
            </w:r>
          </w:p>
        </w:tc>
      </w:tr>
      <w:tr w:rsidR="008F4AA3" w:rsidRPr="0056577B" w14:paraId="2C7C3997" w14:textId="77777777" w:rsidTr="00073536">
        <w:trPr>
          <w:jc w:val="center"/>
        </w:trPr>
        <w:tc>
          <w:tcPr>
            <w:tcW w:w="1549" w:type="dxa"/>
            <w:vAlign w:val="center"/>
          </w:tcPr>
          <w:p w14:paraId="7CEFB021" w14:textId="77777777" w:rsidR="008F4AA3" w:rsidRPr="0056577B" w:rsidRDefault="008F4AA3" w:rsidP="0056577B">
            <w:pPr>
              <w:pStyle w:val="Tabletext"/>
              <w:jc w:val="center"/>
              <w:rPr>
                <w:sz w:val="22"/>
                <w:lang w:val="es-ES_tradnl"/>
              </w:rPr>
            </w:pPr>
            <w:r w:rsidRPr="0056577B">
              <w:rPr>
                <w:sz w:val="22"/>
                <w:lang w:val="es-ES_tradnl"/>
              </w:rPr>
              <w:t>9.2</w:t>
            </w:r>
          </w:p>
        </w:tc>
        <w:tc>
          <w:tcPr>
            <w:tcW w:w="1859" w:type="dxa"/>
            <w:vAlign w:val="center"/>
          </w:tcPr>
          <w:p w14:paraId="1244CAF7" w14:textId="77777777" w:rsidR="008F4AA3" w:rsidRPr="0056577B" w:rsidRDefault="008F4AA3" w:rsidP="0056577B">
            <w:pPr>
              <w:pStyle w:val="Tabletext"/>
              <w:jc w:val="center"/>
              <w:rPr>
                <w:sz w:val="22"/>
                <w:lang w:val="es-ES_tradnl"/>
              </w:rPr>
            </w:pPr>
            <w:r w:rsidRPr="0056577B">
              <w:rPr>
                <w:sz w:val="22"/>
                <w:lang w:val="es-ES_tradnl"/>
              </w:rPr>
              <w:t>–</w:t>
            </w:r>
          </w:p>
        </w:tc>
        <w:tc>
          <w:tcPr>
            <w:tcW w:w="1509" w:type="dxa"/>
            <w:vAlign w:val="center"/>
          </w:tcPr>
          <w:p w14:paraId="742B2BA3" w14:textId="77777777" w:rsidR="008F4AA3" w:rsidRPr="0056577B" w:rsidRDefault="008F4AA3" w:rsidP="0056577B">
            <w:pPr>
              <w:pStyle w:val="Tabletext"/>
              <w:jc w:val="center"/>
              <w:rPr>
                <w:sz w:val="22"/>
                <w:lang w:val="es-ES_tradnl"/>
              </w:rPr>
            </w:pPr>
            <w:r w:rsidRPr="0056577B">
              <w:rPr>
                <w:sz w:val="22"/>
                <w:lang w:val="es-ES_tradnl"/>
              </w:rPr>
              <w:t>–</w:t>
            </w:r>
          </w:p>
        </w:tc>
        <w:tc>
          <w:tcPr>
            <w:tcW w:w="4712" w:type="dxa"/>
            <w:vAlign w:val="center"/>
          </w:tcPr>
          <w:p w14:paraId="3735F81D" w14:textId="77777777" w:rsidR="008F4AA3" w:rsidRPr="0056577B" w:rsidRDefault="008F4AA3" w:rsidP="0056577B">
            <w:pPr>
              <w:pStyle w:val="Tabletext"/>
              <w:jc w:val="center"/>
              <w:rPr>
                <w:sz w:val="22"/>
                <w:lang w:val="es-ES_tradnl"/>
              </w:rPr>
            </w:pPr>
            <w:r w:rsidRPr="0056577B">
              <w:rPr>
                <w:sz w:val="22"/>
                <w:lang w:val="es-ES_tradnl"/>
              </w:rPr>
              <w:t>–</w:t>
            </w:r>
          </w:p>
        </w:tc>
      </w:tr>
      <w:tr w:rsidR="008F4AA3" w:rsidRPr="0056577B" w14:paraId="66D0C4D6" w14:textId="77777777" w:rsidTr="00073536">
        <w:trPr>
          <w:jc w:val="center"/>
        </w:trPr>
        <w:tc>
          <w:tcPr>
            <w:tcW w:w="1549" w:type="dxa"/>
            <w:vAlign w:val="center"/>
          </w:tcPr>
          <w:p w14:paraId="34BA3384" w14:textId="77777777" w:rsidR="008F4AA3" w:rsidRPr="0056577B" w:rsidRDefault="008F4AA3" w:rsidP="0056577B">
            <w:pPr>
              <w:pStyle w:val="Tabletext"/>
              <w:jc w:val="center"/>
              <w:rPr>
                <w:sz w:val="22"/>
                <w:lang w:val="es-ES_tradnl"/>
              </w:rPr>
            </w:pPr>
            <w:r w:rsidRPr="0056577B">
              <w:rPr>
                <w:sz w:val="22"/>
                <w:lang w:val="es-ES_tradnl"/>
              </w:rPr>
              <w:t>9.3</w:t>
            </w:r>
          </w:p>
        </w:tc>
        <w:tc>
          <w:tcPr>
            <w:tcW w:w="1859" w:type="dxa"/>
            <w:vAlign w:val="center"/>
          </w:tcPr>
          <w:p w14:paraId="66572ABD" w14:textId="77777777" w:rsidR="008F4AA3" w:rsidRPr="0056577B" w:rsidRDefault="008F4AA3" w:rsidP="0056577B">
            <w:pPr>
              <w:pStyle w:val="Tabletext"/>
              <w:jc w:val="center"/>
              <w:rPr>
                <w:sz w:val="22"/>
                <w:lang w:val="es-ES_tradnl"/>
              </w:rPr>
            </w:pPr>
            <w:r w:rsidRPr="0056577B">
              <w:rPr>
                <w:sz w:val="22"/>
                <w:lang w:val="es-ES_tradnl"/>
              </w:rPr>
              <w:t>80 (Rev.CMR</w:t>
            </w:r>
            <w:r w:rsidRPr="0056577B">
              <w:rPr>
                <w:sz w:val="22"/>
                <w:lang w:val="es-ES_tradnl"/>
              </w:rPr>
              <w:noBreakHyphen/>
              <w:t>07)</w:t>
            </w:r>
          </w:p>
        </w:tc>
        <w:tc>
          <w:tcPr>
            <w:tcW w:w="1509" w:type="dxa"/>
            <w:vAlign w:val="center"/>
          </w:tcPr>
          <w:p w14:paraId="390F820E" w14:textId="77777777" w:rsidR="008F4AA3" w:rsidRPr="0056577B" w:rsidRDefault="008F4AA3" w:rsidP="0056577B">
            <w:pPr>
              <w:pStyle w:val="Tabletext"/>
              <w:jc w:val="center"/>
              <w:rPr>
                <w:sz w:val="22"/>
                <w:lang w:val="es-ES_tradnl"/>
              </w:rPr>
            </w:pPr>
            <w:r w:rsidRPr="0056577B">
              <w:rPr>
                <w:sz w:val="22"/>
                <w:lang w:val="es-ES_tradnl"/>
              </w:rPr>
              <w:t>–</w:t>
            </w:r>
          </w:p>
        </w:tc>
        <w:tc>
          <w:tcPr>
            <w:tcW w:w="4712" w:type="dxa"/>
            <w:vAlign w:val="center"/>
          </w:tcPr>
          <w:p w14:paraId="22FD346B" w14:textId="77777777" w:rsidR="008F4AA3" w:rsidRPr="0056577B" w:rsidRDefault="008F4AA3" w:rsidP="0056577B">
            <w:pPr>
              <w:pStyle w:val="Tabletext"/>
              <w:jc w:val="center"/>
              <w:rPr>
                <w:sz w:val="22"/>
                <w:lang w:val="es-ES_tradnl"/>
              </w:rPr>
            </w:pPr>
            <w:r w:rsidRPr="0056577B">
              <w:rPr>
                <w:sz w:val="22"/>
                <w:lang w:val="es-ES_tradnl"/>
              </w:rPr>
              <w:t>GT 4A</w:t>
            </w:r>
          </w:p>
        </w:tc>
      </w:tr>
      <w:tr w:rsidR="008F4AA3" w:rsidRPr="0056577B" w14:paraId="12490AFD" w14:textId="77777777" w:rsidTr="00073536">
        <w:trPr>
          <w:jc w:val="center"/>
        </w:trPr>
        <w:tc>
          <w:tcPr>
            <w:tcW w:w="1549" w:type="dxa"/>
            <w:vAlign w:val="center"/>
          </w:tcPr>
          <w:p w14:paraId="721C2905" w14:textId="77777777" w:rsidR="008F4AA3" w:rsidRPr="0056577B" w:rsidRDefault="008F4AA3" w:rsidP="0056577B">
            <w:pPr>
              <w:pStyle w:val="Tabletext"/>
              <w:jc w:val="center"/>
              <w:rPr>
                <w:sz w:val="22"/>
                <w:lang w:val="es-ES_tradnl"/>
              </w:rPr>
            </w:pPr>
            <w:r w:rsidRPr="0056577B">
              <w:rPr>
                <w:sz w:val="22"/>
                <w:lang w:val="es-ES_tradnl"/>
              </w:rPr>
              <w:t>10</w:t>
            </w:r>
          </w:p>
        </w:tc>
        <w:tc>
          <w:tcPr>
            <w:tcW w:w="1859" w:type="dxa"/>
            <w:vAlign w:val="center"/>
          </w:tcPr>
          <w:p w14:paraId="3D5E9882" w14:textId="1195F41C" w:rsidR="008F4AA3" w:rsidRPr="0056577B" w:rsidRDefault="008F4AA3" w:rsidP="0056577B">
            <w:pPr>
              <w:pStyle w:val="Tabletext"/>
              <w:jc w:val="center"/>
              <w:rPr>
                <w:sz w:val="22"/>
                <w:lang w:val="es-ES_tradnl"/>
              </w:rPr>
            </w:pPr>
            <w:r w:rsidRPr="0056577B">
              <w:rPr>
                <w:sz w:val="22"/>
                <w:lang w:val="es-ES_tradnl"/>
              </w:rPr>
              <w:t>804</w:t>
            </w:r>
            <w:r w:rsidR="00912398" w:rsidRPr="0056577B">
              <w:rPr>
                <w:sz w:val="22"/>
                <w:lang w:val="es-ES_tradnl"/>
              </w:rPr>
              <w:br/>
            </w:r>
            <w:r w:rsidRPr="0056577B">
              <w:rPr>
                <w:sz w:val="22"/>
                <w:lang w:val="es-ES_tradnl"/>
              </w:rPr>
              <w:t>(Rev.CMR-23)</w:t>
            </w:r>
            <w:r w:rsidRPr="0056577B">
              <w:rPr>
                <w:sz w:val="22"/>
                <w:lang w:val="es-ES_tradnl"/>
              </w:rPr>
              <w:br/>
              <w:t>814 (CMR-23)</w:t>
            </w:r>
          </w:p>
        </w:tc>
        <w:tc>
          <w:tcPr>
            <w:tcW w:w="1509" w:type="dxa"/>
            <w:vAlign w:val="center"/>
          </w:tcPr>
          <w:p w14:paraId="710D7815" w14:textId="77777777" w:rsidR="008F4AA3" w:rsidRPr="0056577B" w:rsidRDefault="008F4AA3" w:rsidP="0056577B">
            <w:pPr>
              <w:pStyle w:val="Tabletext"/>
              <w:jc w:val="center"/>
              <w:rPr>
                <w:sz w:val="22"/>
                <w:lang w:val="es-ES_tradnl"/>
              </w:rPr>
            </w:pPr>
            <w:r w:rsidRPr="0056577B">
              <w:rPr>
                <w:sz w:val="22"/>
                <w:lang w:val="es-ES_tradnl"/>
              </w:rPr>
              <w:t>RPC27</w:t>
            </w:r>
            <w:r w:rsidRPr="0056577B">
              <w:rPr>
                <w:sz w:val="22"/>
                <w:lang w:val="es-ES_tradnl"/>
              </w:rPr>
              <w:noBreakHyphen/>
              <w:t>2</w:t>
            </w:r>
            <w:r w:rsidRPr="0056577B">
              <w:rPr>
                <w:sz w:val="22"/>
                <w:lang w:val="es-ES_tradnl"/>
              </w:rPr>
              <w:br/>
            </w:r>
            <w:r w:rsidRPr="00665FB3">
              <w:rPr>
                <w:sz w:val="18"/>
                <w:szCs w:val="18"/>
                <w:lang w:val="es-ES_tradnl"/>
              </w:rPr>
              <w:t>(sólo a título informativo)</w:t>
            </w:r>
          </w:p>
        </w:tc>
        <w:tc>
          <w:tcPr>
            <w:tcW w:w="4712" w:type="dxa"/>
            <w:vAlign w:val="center"/>
          </w:tcPr>
          <w:p w14:paraId="2CC4BB0F" w14:textId="77777777" w:rsidR="008F4AA3" w:rsidRPr="0056577B" w:rsidRDefault="008F4AA3" w:rsidP="0056577B">
            <w:pPr>
              <w:pStyle w:val="Tabletext"/>
              <w:jc w:val="center"/>
              <w:rPr>
                <w:sz w:val="22"/>
                <w:lang w:val="es-ES_tradnl"/>
              </w:rPr>
            </w:pPr>
            <w:r w:rsidRPr="0056577B">
              <w:rPr>
                <w:sz w:val="22"/>
                <w:lang w:val="es-ES_tradnl"/>
              </w:rPr>
              <w:t>–</w:t>
            </w:r>
          </w:p>
        </w:tc>
      </w:tr>
    </w:tbl>
    <w:p w14:paraId="0851B63B" w14:textId="77777777" w:rsidR="008F4AA3" w:rsidRPr="0056577B" w:rsidRDefault="008F4AA3" w:rsidP="0056577B">
      <w:pPr>
        <w:rPr>
          <w:lang w:val="es-ES_tradnl"/>
        </w:rPr>
      </w:pPr>
    </w:p>
    <w:p w14:paraId="4A77BAD3" w14:textId="0B74F9ED" w:rsidR="00D239B4" w:rsidRPr="0056577B" w:rsidRDefault="008F4AA3" w:rsidP="008F4AA3">
      <w:pPr>
        <w:jc w:val="center"/>
        <w:rPr>
          <w:lang w:val="es-ES_tradnl"/>
        </w:rPr>
      </w:pPr>
      <w:r w:rsidRPr="0056577B">
        <w:rPr>
          <w:lang w:val="es-ES_tradnl"/>
        </w:rPr>
        <w:t>______________</w:t>
      </w:r>
    </w:p>
    <w:sectPr w:rsidR="00D239B4" w:rsidRPr="0056577B" w:rsidSect="00C90C5E">
      <w:headerReference w:type="even" r:id="rId12"/>
      <w:headerReference w:type="default" r:id="rId13"/>
      <w:headerReference w:type="first" r:id="rId14"/>
      <w:footerReference w:type="first" r:id="rId15"/>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6407" w14:textId="77777777" w:rsidR="008F4AA3" w:rsidRDefault="008F4AA3">
      <w:r>
        <w:separator/>
      </w:r>
    </w:p>
  </w:endnote>
  <w:endnote w:type="continuationSeparator" w:id="0">
    <w:p w14:paraId="09B8997C" w14:textId="77777777" w:rsidR="008F4AA3" w:rsidRDefault="008F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8835"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2"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50C4E" w14:textId="77777777" w:rsidR="008F4AA3" w:rsidRDefault="008F4AA3">
      <w:r>
        <w:t>____________________</w:t>
      </w:r>
    </w:p>
  </w:footnote>
  <w:footnote w:type="continuationSeparator" w:id="0">
    <w:p w14:paraId="5636C5DA" w14:textId="77777777" w:rsidR="008F4AA3" w:rsidRDefault="008F4AA3">
      <w:r>
        <w:continuationSeparator/>
      </w:r>
    </w:p>
  </w:footnote>
  <w:footnote w:id="1">
    <w:p w14:paraId="3F67950A" w14:textId="589C5873" w:rsidR="008F4AA3" w:rsidRPr="007C31FD" w:rsidRDefault="008F4AA3" w:rsidP="008F4AA3">
      <w:pPr>
        <w:pStyle w:val="FootnoteText"/>
        <w:rPr>
          <w:lang w:val="es-ES"/>
        </w:rPr>
      </w:pPr>
      <w:r w:rsidRPr="007C31FD">
        <w:rPr>
          <w:rStyle w:val="FootnoteReference"/>
          <w:lang w:val="es-ES"/>
        </w:rPr>
        <w:t>*</w:t>
      </w:r>
      <w:r>
        <w:rPr>
          <w:lang w:val="es-ES"/>
        </w:rPr>
        <w:tab/>
      </w:r>
      <w:r w:rsidRPr="007C31FD">
        <w:rPr>
          <w:lang w:val="es-ES"/>
        </w:rPr>
        <w:t>(1.2) Sobre la base de la experiencia adquirida en el estudio de esta banda de frecuencias y habida cuenta de la complejidad del asunto, debe prestarse una atención particular a la interacción entre el</w:t>
      </w:r>
      <w:r w:rsidRPr="007C31FD">
        <w:rPr>
          <w:bCs/>
          <w:lang w:val="es-ES"/>
        </w:rPr>
        <w:t xml:space="preserve"> </w:t>
      </w:r>
      <w:r w:rsidRPr="007C31FD">
        <w:rPr>
          <w:lang w:val="es-ES"/>
        </w:rPr>
        <w:t>GT</w:t>
      </w:r>
      <w:r>
        <w:rPr>
          <w:lang w:val="es-ES"/>
        </w:rPr>
        <w:t> </w:t>
      </w:r>
      <w:r w:rsidRPr="007C31FD">
        <w:rPr>
          <w:lang w:val="es-ES"/>
        </w:rPr>
        <w:t>4A y el GT</w:t>
      </w:r>
      <w:r>
        <w:rPr>
          <w:lang w:val="es-ES"/>
        </w:rPr>
        <w:t> </w:t>
      </w:r>
      <w:r w:rsidRPr="007C31FD">
        <w:rPr>
          <w:lang w:val="es-ES"/>
        </w:rPr>
        <w:t>5B. Por</w:t>
      </w:r>
      <w:r w:rsidR="00665FB3">
        <w:rPr>
          <w:lang w:val="es-ES"/>
        </w:rPr>
        <w:t> </w:t>
      </w:r>
      <w:r w:rsidRPr="007C31FD">
        <w:rPr>
          <w:lang w:val="es-ES"/>
        </w:rPr>
        <w:t>consiguiente, el GT</w:t>
      </w:r>
      <w:r>
        <w:rPr>
          <w:lang w:val="es-ES"/>
        </w:rPr>
        <w:t> </w:t>
      </w:r>
      <w:r w:rsidRPr="007C31FD">
        <w:rPr>
          <w:lang w:val="es-ES"/>
        </w:rPr>
        <w:t>4A deberá tener en cuenta, según se reciba, toda eventual actualización de la información y las características de protección y funcionamiento del servicio de radiolocalización que le comunique el GT</w:t>
      </w:r>
      <w:r>
        <w:rPr>
          <w:lang w:val="es-ES"/>
        </w:rPr>
        <w:t> </w:t>
      </w:r>
      <w:r w:rsidRPr="007C31FD">
        <w:rPr>
          <w:lang w:val="es-ES"/>
        </w:rPr>
        <w:t>5B a fin de realizar los estudios de compartición pertinentes. A medida que avancen los estudios del GT</w:t>
      </w:r>
      <w:r>
        <w:rPr>
          <w:lang w:val="es-ES"/>
        </w:rPr>
        <w:t> </w:t>
      </w:r>
      <w:r w:rsidRPr="007C31FD">
        <w:rPr>
          <w:lang w:val="es-ES"/>
        </w:rPr>
        <w:t>4A, podrán organizarse, de ser necesario, reuniones conjuntas del GT</w:t>
      </w:r>
      <w:r>
        <w:rPr>
          <w:lang w:val="es-ES"/>
        </w:rPr>
        <w:t> </w:t>
      </w:r>
      <w:r w:rsidRPr="007C31FD">
        <w:rPr>
          <w:lang w:val="es-ES"/>
        </w:rPr>
        <w:t>4A y el GT</w:t>
      </w:r>
      <w:r>
        <w:rPr>
          <w:lang w:val="es-ES"/>
        </w:rPr>
        <w:t> </w:t>
      </w:r>
      <w:r w:rsidRPr="007C31FD">
        <w:rPr>
          <w:lang w:val="es-ES"/>
        </w:rPr>
        <w:t>5B para facilitar la colaboración entre esos GT sobre la protección del servicio de radiolocalización.</w:t>
      </w:r>
    </w:p>
  </w:footnote>
  <w:footnote w:id="2">
    <w:p w14:paraId="03CD7C59" w14:textId="77777777" w:rsidR="008F4AA3" w:rsidRPr="001F2FFC" w:rsidRDefault="008F4AA3" w:rsidP="008F4AA3">
      <w:pPr>
        <w:pStyle w:val="FootnoteText"/>
        <w:rPr>
          <w:lang w:val="es-ES"/>
        </w:rPr>
      </w:pPr>
      <w:r w:rsidRPr="001F2FFC">
        <w:rPr>
          <w:rStyle w:val="FootnoteReference"/>
          <w:lang w:val="es-ES"/>
        </w:rPr>
        <w:t>*</w:t>
      </w:r>
      <w:r>
        <w:rPr>
          <w:lang w:val="es-ES"/>
        </w:rPr>
        <w:tab/>
      </w:r>
      <w:r w:rsidRPr="001F2FFC">
        <w:rPr>
          <w:lang w:val="es-ES"/>
        </w:rPr>
        <w:t>(1.10) Los estudios deben llevarse a cabo en estrecha colaboración entre los GT indicados.</w:t>
      </w:r>
    </w:p>
  </w:footnote>
  <w:footnote w:id="3">
    <w:p w14:paraId="7D282264" w14:textId="77777777" w:rsidR="008F4AA3" w:rsidRPr="001F2FFC" w:rsidRDefault="008F4AA3" w:rsidP="008F4AA3">
      <w:pPr>
        <w:pStyle w:val="FootnoteText"/>
        <w:rPr>
          <w:lang w:val="es-ES"/>
        </w:rPr>
      </w:pPr>
      <w:r w:rsidRPr="001F2FFC">
        <w:rPr>
          <w:rStyle w:val="FootnoteReference"/>
          <w:lang w:val="es-ES"/>
        </w:rPr>
        <w:t>*</w:t>
      </w:r>
      <w:r>
        <w:rPr>
          <w:lang w:val="es-ES"/>
        </w:rPr>
        <w:tab/>
      </w:r>
      <w:r w:rsidRPr="001F2FFC">
        <w:rPr>
          <w:lang w:val="es-ES"/>
        </w:rPr>
        <w:t>(1.13) El GT</w:t>
      </w:r>
      <w:r>
        <w:rPr>
          <w:lang w:val="es-ES"/>
        </w:rPr>
        <w:t> </w:t>
      </w:r>
      <w:r w:rsidRPr="001F2FFC">
        <w:rPr>
          <w:lang w:val="es-ES"/>
        </w:rPr>
        <w:t>4C estudiará las posibles atribuciones al SMS en las bandas de frecuencias entre 694/698</w:t>
      </w:r>
      <w:r>
        <w:rPr>
          <w:lang w:val="es-ES"/>
        </w:rPr>
        <w:t> </w:t>
      </w:r>
      <w:r w:rsidRPr="001F2FFC">
        <w:rPr>
          <w:lang w:val="es-ES"/>
        </w:rPr>
        <w:t>MHz y 2,7</w:t>
      </w:r>
      <w:r>
        <w:rPr>
          <w:lang w:val="es-ES"/>
        </w:rPr>
        <w:t> </w:t>
      </w:r>
      <w:r w:rsidRPr="001F2FFC">
        <w:rPr>
          <w:lang w:val="es-ES"/>
        </w:rPr>
        <w:t>GHz que se presenten en las contribuciones, incluidas las del GT 5D, sobre la base de las disposiciones de frecuencias para las IMT de la versión más reciente de la Recomendación UIT-R M.1036.</w:t>
      </w:r>
    </w:p>
    <w:p w14:paraId="07BC6226" w14:textId="77777777" w:rsidR="008F4AA3" w:rsidRPr="001F2FFC" w:rsidRDefault="008F4AA3" w:rsidP="008F4AA3">
      <w:pPr>
        <w:pStyle w:val="FootnoteText"/>
        <w:rPr>
          <w:lang w:val="es-ES"/>
        </w:rPr>
      </w:pPr>
      <w:r w:rsidRPr="001F2FFC">
        <w:rPr>
          <w:lang w:val="es-ES"/>
        </w:rPr>
        <w:tab/>
        <w:t xml:space="preserve">El GT 4C, en estrecha colaboración con el GT 5D, realizará los estudios a que se hace referencia en el </w:t>
      </w:r>
      <w:r w:rsidRPr="001F2FFC">
        <w:rPr>
          <w:i/>
          <w:iCs/>
          <w:lang w:val="es-ES"/>
        </w:rPr>
        <w:t>resuelve invitar al Sector de Radiocomunicaciones de la UIT a completar a tiempo para la Conferencia Mundial de Radiocomunicaciones de 2027</w:t>
      </w:r>
      <w:r w:rsidRPr="001F2FFC">
        <w:rPr>
          <w:lang w:val="es-ES"/>
        </w:rPr>
        <w:t xml:space="preserve"> 2.</w:t>
      </w:r>
    </w:p>
    <w:p w14:paraId="610DFD2E" w14:textId="77777777" w:rsidR="008F4AA3" w:rsidRPr="001F2FFC" w:rsidRDefault="008F4AA3" w:rsidP="008F4AA3">
      <w:pPr>
        <w:pStyle w:val="FootnoteText"/>
        <w:rPr>
          <w:lang w:val="es-ES"/>
        </w:rPr>
      </w:pPr>
      <w:r w:rsidRPr="001F2FFC">
        <w:rPr>
          <w:lang w:val="es-ES"/>
        </w:rPr>
        <w:tab/>
        <w:t xml:space="preserve">El GT 4C realizará los estudios previstos en los </w:t>
      </w:r>
      <w:r w:rsidRPr="001F2FFC">
        <w:rPr>
          <w:i/>
          <w:iCs/>
          <w:lang w:val="es-ES"/>
        </w:rPr>
        <w:t>resuelve además</w:t>
      </w:r>
      <w:r w:rsidRPr="001F2FFC">
        <w:rPr>
          <w:lang w:val="es-ES"/>
        </w:rPr>
        <w:t xml:space="preserve"> 1 y 2. Se prevé que los estudios del GT 5D integren consideraciones reglamentarias sobre la protección de la componente terrenal de las IMT.</w:t>
      </w:r>
    </w:p>
    <w:p w14:paraId="2E4E8F78" w14:textId="69CAA678" w:rsidR="008F4AA3" w:rsidRPr="009B5EEC" w:rsidRDefault="008F4AA3" w:rsidP="008F4AA3">
      <w:pPr>
        <w:pStyle w:val="FootnoteText"/>
        <w:rPr>
          <w:lang w:val="es-ES"/>
        </w:rPr>
      </w:pPr>
      <w:r w:rsidRPr="001F2FFC">
        <w:rPr>
          <w:lang w:val="es-ES"/>
        </w:rPr>
        <w:tab/>
        <w:t>El GT 4C asumirá la responsabilidad de redactar el proyecto de texto de la RPC incluyendo los resultados del 5D sobre las consideraciones reglamentarias sobre la protección de la componente terrenal de las IMT. Para facilitar los trabajos, los Presidentes de ambos GT coordinarán el programa de reuniones de los GT, según proceda, e informarán convenientemente a ambos GT.</w:t>
      </w:r>
    </w:p>
  </w:footnote>
  <w:footnote w:id="4">
    <w:p w14:paraId="16E2B268" w14:textId="77777777" w:rsidR="008F4AA3" w:rsidRPr="001F2FFC" w:rsidRDefault="008F4AA3" w:rsidP="008F4AA3">
      <w:pPr>
        <w:pStyle w:val="FootnoteText"/>
        <w:rPr>
          <w:lang w:val="es-ES"/>
        </w:rPr>
      </w:pPr>
      <w:r w:rsidRPr="001F2FFC">
        <w:rPr>
          <w:rStyle w:val="FootnoteReference"/>
          <w:lang w:val="es-ES"/>
        </w:rPr>
        <w:t>Nota</w:t>
      </w:r>
      <w:r>
        <w:rPr>
          <w:lang w:val="es-ES"/>
        </w:rPr>
        <w:t xml:space="preserve"> </w:t>
      </w:r>
      <w:r w:rsidRPr="001F2FFC">
        <w:rPr>
          <w:lang w:val="es-ES"/>
        </w:rPr>
        <w:t xml:space="preserve">(1.18) </w:t>
      </w:r>
      <w:r w:rsidRPr="001F2FFC">
        <w:rPr>
          <w:bCs/>
          <w:u w:val="single"/>
          <w:lang w:val="es-ES"/>
        </w:rPr>
        <w:t>Nota</w:t>
      </w:r>
      <w:r w:rsidRPr="001F2FFC">
        <w:rPr>
          <w:bCs/>
          <w:lang w:val="es-ES"/>
        </w:rPr>
        <w:t>: el proyecto de texto de la RPC preparado por el GT</w:t>
      </w:r>
      <w:r>
        <w:rPr>
          <w:lang w:val="es-ES"/>
        </w:rPr>
        <w:t> </w:t>
      </w:r>
      <w:r w:rsidRPr="001F2FFC">
        <w:rPr>
          <w:bCs/>
          <w:lang w:val="es-ES"/>
        </w:rPr>
        <w:t>7C y el GT</w:t>
      </w:r>
      <w:r>
        <w:rPr>
          <w:lang w:val="es-ES"/>
        </w:rPr>
        <w:t> </w:t>
      </w:r>
      <w:r w:rsidRPr="001F2FFC">
        <w:rPr>
          <w:bCs/>
          <w:lang w:val="es-ES"/>
        </w:rPr>
        <w:t>7D será presentado por el GT</w:t>
      </w:r>
      <w:r>
        <w:rPr>
          <w:lang w:val="es-ES"/>
        </w:rPr>
        <w:t> </w:t>
      </w:r>
      <w:r w:rsidRPr="001F2FFC">
        <w:rPr>
          <w:bCs/>
          <w:lang w:val="es-ES"/>
        </w:rPr>
        <w:t>7C.</w:t>
      </w:r>
    </w:p>
  </w:footnote>
  <w:footnote w:id="5">
    <w:p w14:paraId="11E30205" w14:textId="5CA19792" w:rsidR="008F4AA3" w:rsidRPr="001F2FFC" w:rsidRDefault="008F4AA3" w:rsidP="008F4AA3">
      <w:pPr>
        <w:pStyle w:val="FootnoteText"/>
        <w:rPr>
          <w:lang w:val="es-ES"/>
        </w:rPr>
      </w:pPr>
      <w:r w:rsidRPr="001F2FFC">
        <w:rPr>
          <w:rStyle w:val="FootnoteReference"/>
          <w:lang w:val="es-ES"/>
        </w:rPr>
        <w:t>*</w:t>
      </w:r>
      <w:r>
        <w:rPr>
          <w:lang w:val="es-ES"/>
        </w:rPr>
        <w:tab/>
      </w:r>
      <w:r w:rsidRPr="001F2FFC">
        <w:rPr>
          <w:lang w:val="es-ES"/>
        </w:rPr>
        <w:t>(1.18) Los trabajos preparatorios para este punto del orden del día exigen esfuerzos para ampliar la aplicabilidad de los actuales métodos de predicción de las ondas radioeléctricas a los estudios de compartición y compatibilidad en las bandas de frecuencias hasta 235</w:t>
      </w:r>
      <w:r>
        <w:rPr>
          <w:lang w:val="es-ES"/>
        </w:rPr>
        <w:t> </w:t>
      </w:r>
      <w:r w:rsidRPr="001F2FFC">
        <w:rPr>
          <w:lang w:val="es-ES"/>
        </w:rPr>
        <w:t xml:space="preserve">GHz. Se anima a los Miembros a procurar la finalización de estas actividades fundamentales por los </w:t>
      </w:r>
      <w:r w:rsidR="00726249">
        <w:rPr>
          <w:lang w:val="es-ES"/>
        </w:rPr>
        <w:t>GT </w:t>
      </w:r>
      <w:r w:rsidRPr="001F2FFC">
        <w:rPr>
          <w:lang w:val="es-ES"/>
        </w:rPr>
        <w:t>3J y 3M antes de</w:t>
      </w:r>
      <w:r>
        <w:rPr>
          <w:lang w:val="es-ES"/>
        </w:rPr>
        <w:t> </w:t>
      </w:r>
      <w:r w:rsidRPr="001F2FFC">
        <w:rPr>
          <w:lang w:val="es-ES"/>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A586" w14:textId="066349D2" w:rsidR="00E915AF" w:rsidRPr="00D239B4" w:rsidRDefault="00D97EF5" w:rsidP="008F4AA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0EA1" w14:textId="0676F1EC" w:rsidR="00E915AF" w:rsidRPr="008F4AA3" w:rsidRDefault="008F4AA3" w:rsidP="008F4AA3">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ECD6" w14:textId="5168E110" w:rsidR="00E915AF" w:rsidRPr="001B3D4D" w:rsidRDefault="00C90C5E" w:rsidP="00C90C5E">
    <w:pPr>
      <w:pStyle w:val="FirstFooter"/>
      <w:spacing w:line="240" w:lineRule="auto"/>
      <w:ind w:left="-397" w:right="-397"/>
      <w:jc w:val="center"/>
    </w:pPr>
    <w:r>
      <w:rPr>
        <w:noProof/>
        <w:lang w:val="en-GB" w:eastAsia="en-GB"/>
      </w:rPr>
      <w:drawing>
        <wp:inline distT="0" distB="0" distL="0" distR="0" wp14:anchorId="78CE929C" wp14:editId="27DB5526">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13AFF"/>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4017"/>
    <w:rsid w:val="00496864"/>
    <w:rsid w:val="00496920"/>
    <w:rsid w:val="004A4496"/>
    <w:rsid w:val="004A5F47"/>
    <w:rsid w:val="004B11AB"/>
    <w:rsid w:val="004B7C9A"/>
    <w:rsid w:val="004C0F52"/>
    <w:rsid w:val="004C230A"/>
    <w:rsid w:val="004C6779"/>
    <w:rsid w:val="004D733B"/>
    <w:rsid w:val="004E0DC4"/>
    <w:rsid w:val="004E0FB5"/>
    <w:rsid w:val="004E43BB"/>
    <w:rsid w:val="004E460D"/>
    <w:rsid w:val="004F178E"/>
    <w:rsid w:val="004F4543"/>
    <w:rsid w:val="004F57BB"/>
    <w:rsid w:val="00505309"/>
    <w:rsid w:val="0050789B"/>
    <w:rsid w:val="00511F7D"/>
    <w:rsid w:val="005224A1"/>
    <w:rsid w:val="00534372"/>
    <w:rsid w:val="00535FEF"/>
    <w:rsid w:val="005370F0"/>
    <w:rsid w:val="00543DF8"/>
    <w:rsid w:val="00546101"/>
    <w:rsid w:val="00553364"/>
    <w:rsid w:val="00553DD7"/>
    <w:rsid w:val="005638CF"/>
    <w:rsid w:val="0056577B"/>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5F6E6F"/>
    <w:rsid w:val="00602D53"/>
    <w:rsid w:val="006047E5"/>
    <w:rsid w:val="0061755E"/>
    <w:rsid w:val="006400EB"/>
    <w:rsid w:val="0064371D"/>
    <w:rsid w:val="00650543"/>
    <w:rsid w:val="00650B2A"/>
    <w:rsid w:val="00651777"/>
    <w:rsid w:val="006550F8"/>
    <w:rsid w:val="00665FB3"/>
    <w:rsid w:val="006829F3"/>
    <w:rsid w:val="006A518B"/>
    <w:rsid w:val="006B0590"/>
    <w:rsid w:val="006B49DA"/>
    <w:rsid w:val="006C53F8"/>
    <w:rsid w:val="006C7CDE"/>
    <w:rsid w:val="006D011F"/>
    <w:rsid w:val="007234B1"/>
    <w:rsid w:val="00723D08"/>
    <w:rsid w:val="00725FDA"/>
    <w:rsid w:val="00726249"/>
    <w:rsid w:val="00727816"/>
    <w:rsid w:val="00730B9A"/>
    <w:rsid w:val="00735750"/>
    <w:rsid w:val="00750CFA"/>
    <w:rsid w:val="007553DA"/>
    <w:rsid w:val="00775DB8"/>
    <w:rsid w:val="00782354"/>
    <w:rsid w:val="00782675"/>
    <w:rsid w:val="007921A7"/>
    <w:rsid w:val="007B3DB1"/>
    <w:rsid w:val="007D183E"/>
    <w:rsid w:val="007D43D0"/>
    <w:rsid w:val="007E1833"/>
    <w:rsid w:val="007E3F13"/>
    <w:rsid w:val="007F751A"/>
    <w:rsid w:val="00800012"/>
    <w:rsid w:val="0080261F"/>
    <w:rsid w:val="00805A02"/>
    <w:rsid w:val="00806160"/>
    <w:rsid w:val="008143A4"/>
    <w:rsid w:val="0081513E"/>
    <w:rsid w:val="00821B49"/>
    <w:rsid w:val="00853D1C"/>
    <w:rsid w:val="00854131"/>
    <w:rsid w:val="0085652D"/>
    <w:rsid w:val="0087694B"/>
    <w:rsid w:val="00880F4D"/>
    <w:rsid w:val="008B35A3"/>
    <w:rsid w:val="008B37E1"/>
    <w:rsid w:val="008B45F8"/>
    <w:rsid w:val="008C2E74"/>
    <w:rsid w:val="008D5409"/>
    <w:rsid w:val="008D6955"/>
    <w:rsid w:val="008E006D"/>
    <w:rsid w:val="008E38B4"/>
    <w:rsid w:val="008F4AA3"/>
    <w:rsid w:val="008F4F21"/>
    <w:rsid w:val="00904D4A"/>
    <w:rsid w:val="009076D7"/>
    <w:rsid w:val="00912398"/>
    <w:rsid w:val="00912DAB"/>
    <w:rsid w:val="009151BA"/>
    <w:rsid w:val="00925023"/>
    <w:rsid w:val="009277BC"/>
    <w:rsid w:val="00927D57"/>
    <w:rsid w:val="00931A51"/>
    <w:rsid w:val="00947185"/>
    <w:rsid w:val="009518B3"/>
    <w:rsid w:val="00956DBB"/>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0C5E"/>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4A11"/>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0A48B"/>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FootnoteTextChar">
    <w:name w:val="Footnote Text Char"/>
    <w:link w:val="FootnoteText"/>
    <w:locked/>
    <w:rsid w:val="008F4AA3"/>
    <w:rPr>
      <w:szCs w:val="22"/>
      <w:lang w:val="en-US" w:eastAsia="en-US"/>
    </w:rPr>
  </w:style>
  <w:style w:type="paragraph" w:customStyle="1" w:styleId="Reasons">
    <w:name w:val="Reasons"/>
    <w:basedOn w:val="Normal"/>
    <w:qFormat/>
    <w:rsid w:val="008F4AA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TabletextChar">
    <w:name w:val="Table_text Char"/>
    <w:basedOn w:val="DefaultParagraphFont"/>
    <w:link w:val="Tabletext"/>
    <w:locked/>
    <w:rsid w:val="008F4AA3"/>
    <w:rPr>
      <w:szCs w:val="22"/>
      <w:lang w:val="en-US" w:eastAsia="en-US"/>
    </w:rPr>
  </w:style>
  <w:style w:type="paragraph" w:customStyle="1" w:styleId="AnnexNotitle0">
    <w:name w:val="Annex_No &amp; title"/>
    <w:basedOn w:val="Normal"/>
    <w:next w:val="Normal"/>
    <w:rsid w:val="008F4AA3"/>
    <w:pPr>
      <w:keepNext/>
      <w:keepLines/>
      <w:spacing w:before="480" w:line="240" w:lineRule="auto"/>
      <w:jc w:val="center"/>
    </w:pPr>
    <w:rPr>
      <w:rFonts w:ascii="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23/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CPM27.1-C-0001/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00-CA-CIR-0270/en" TargetMode="External"/><Relationship Id="rId4" Type="http://schemas.openxmlformats.org/officeDocument/2006/relationships/settings" Target="settings.xml"/><Relationship Id="rId9" Type="http://schemas.openxmlformats.org/officeDocument/2006/relationships/hyperlink" Target="http://www.itu.int/go/rcpm-wrc-27-studie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1712</Words>
  <Characters>7684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9378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Author</cp:lastModifiedBy>
  <cp:revision>11</cp:revision>
  <cp:lastPrinted>2013-03-08T10:15:00Z</cp:lastPrinted>
  <dcterms:created xsi:type="dcterms:W3CDTF">2024-12-06T11:01:00Z</dcterms:created>
  <dcterms:modified xsi:type="dcterms:W3CDTF">2024-12-11T09:37:00Z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